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0A5112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C0A79">
        <w:rPr>
          <w:rFonts w:ascii="Arial" w:hAnsi="Arial" w:cs="Arial"/>
          <w:b/>
          <w:bCs/>
          <w:sz w:val="24"/>
          <w:szCs w:val="24"/>
        </w:rPr>
        <w:t>Usług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bCs/>
          <w:sz w:val="24"/>
          <w:szCs w:val="24"/>
        </w:rPr>
        <w:t>organizacji wyjazdu monitorującego realizację praktyk uczniow</w:t>
      </w:r>
      <w:r>
        <w:rPr>
          <w:rFonts w:ascii="Arial" w:hAnsi="Arial" w:cs="Arial"/>
          <w:b/>
          <w:bCs/>
          <w:sz w:val="24"/>
          <w:szCs w:val="24"/>
        </w:rPr>
        <w:t xml:space="preserve">skich na </w:t>
      </w:r>
      <w:r w:rsidRPr="001E1947">
        <w:rPr>
          <w:rFonts w:ascii="Arial" w:hAnsi="Arial" w:cs="Arial"/>
          <w:b/>
          <w:bCs/>
          <w:sz w:val="24"/>
          <w:szCs w:val="24"/>
        </w:rPr>
        <w:t>ter</w:t>
      </w:r>
      <w:r w:rsidRPr="001E1947">
        <w:rPr>
          <w:rFonts w:ascii="Arial" w:hAnsi="Arial" w:cs="Arial"/>
          <w:b/>
          <w:bCs/>
          <w:sz w:val="24"/>
          <w:szCs w:val="24"/>
        </w:rPr>
        <w:t>e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nie </w:t>
      </w:r>
      <w:r w:rsidR="00544033">
        <w:rPr>
          <w:rFonts w:ascii="Arial" w:hAnsi="Arial" w:cs="Arial"/>
          <w:b/>
          <w:bCs/>
          <w:sz w:val="24"/>
          <w:szCs w:val="24"/>
        </w:rPr>
        <w:t>Niemiec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</w:t>
      </w:r>
      <w:r w:rsidR="00544033">
        <w:rPr>
          <w:rFonts w:ascii="Arial" w:hAnsi="Arial" w:cs="Arial"/>
          <w:b/>
          <w:bCs/>
          <w:sz w:val="24"/>
          <w:szCs w:val="24"/>
        </w:rPr>
        <w:t>Opolskie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szkolnictwo zawodowe bliżej rynku pracy”</w:t>
      </w:r>
      <w:r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</w:t>
      </w:r>
      <w:r w:rsidR="001B21E7" w:rsidRPr="00C70F99">
        <w:rPr>
          <w:rFonts w:ascii="Arial" w:hAnsi="Arial" w:cs="Arial"/>
          <w:lang w:eastAsia="pl-PL"/>
        </w:rPr>
        <w:t xml:space="preserve">w dniu </w:t>
      </w:r>
      <w:r w:rsidR="001B21E7">
        <w:rPr>
          <w:rFonts w:ascii="Arial" w:hAnsi="Arial" w:cs="Arial"/>
          <w:lang w:eastAsia="pl-PL"/>
        </w:rPr>
        <w:t>21.10.2015 r.,</w:t>
      </w:r>
      <w:r w:rsidRPr="00C70F99">
        <w:rPr>
          <w:rFonts w:ascii="Arial" w:hAnsi="Arial" w:cs="Arial"/>
          <w:lang w:eastAsia="pl-PL"/>
        </w:rPr>
        <w:t xml:space="preserve"> </w:t>
      </w:r>
      <w:r w:rsidR="001B21E7">
        <w:rPr>
          <w:rFonts w:ascii="Arial" w:hAnsi="Arial" w:cs="Arial"/>
          <w:lang w:eastAsia="pl-PL"/>
        </w:rPr>
        <w:t xml:space="preserve">a następnie </w:t>
      </w:r>
      <w:r w:rsidRPr="00C70F99">
        <w:rPr>
          <w:rFonts w:ascii="Arial" w:hAnsi="Arial" w:cs="Arial"/>
        </w:rPr>
        <w:t>umieszczone na stronie internetowej http://bip.rcre.</w:t>
      </w:r>
      <w:r w:rsidR="00544033">
        <w:rPr>
          <w:rFonts w:ascii="Arial" w:hAnsi="Arial" w:cs="Arial"/>
        </w:rPr>
        <w:t>Opolskie</w:t>
      </w:r>
      <w:r w:rsidRPr="00C70F99">
        <w:rPr>
          <w:rFonts w:ascii="Arial" w:hAnsi="Arial" w:cs="Arial"/>
        </w:rPr>
        <w:t>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 xml:space="preserve">na tablicy ogłoszeń Regionalnego Centrum Rozwoju Edukacji, 45-315 Opole ul. Głogowska 27 – </w:t>
      </w:r>
      <w:r w:rsidRPr="00C70F99">
        <w:rPr>
          <w:rFonts w:ascii="Arial" w:hAnsi="Arial" w:cs="Arial"/>
          <w:lang w:eastAsia="pl-PL"/>
        </w:rPr>
        <w:t xml:space="preserve">w dniu </w:t>
      </w:r>
      <w:r w:rsidR="00D32755">
        <w:rPr>
          <w:rFonts w:ascii="Arial" w:hAnsi="Arial" w:cs="Arial"/>
          <w:lang w:eastAsia="pl-PL"/>
        </w:rPr>
        <w:t>2</w:t>
      </w:r>
      <w:r w:rsidR="001B21E7">
        <w:rPr>
          <w:rFonts w:ascii="Arial" w:hAnsi="Arial" w:cs="Arial"/>
          <w:lang w:eastAsia="pl-PL"/>
        </w:rPr>
        <w:t>2</w:t>
      </w:r>
      <w:r w:rsidR="00E93E15">
        <w:rPr>
          <w:rFonts w:ascii="Arial" w:hAnsi="Arial" w:cs="Arial"/>
          <w:lang w:eastAsia="pl-PL"/>
        </w:rPr>
        <w:t>.</w:t>
      </w:r>
      <w:r w:rsidR="00D32755">
        <w:rPr>
          <w:rFonts w:ascii="Arial" w:hAnsi="Arial" w:cs="Arial"/>
          <w:lang w:eastAsia="pl-PL"/>
        </w:rPr>
        <w:t>10</w:t>
      </w:r>
      <w:r w:rsidR="00E93E15">
        <w:rPr>
          <w:rFonts w:ascii="Arial" w:hAnsi="Arial" w:cs="Arial"/>
          <w:lang w:eastAsia="pl-PL"/>
        </w:rPr>
        <w:t>.2015 r.</w:t>
      </w:r>
      <w:r w:rsidRPr="00C70F99">
        <w:rPr>
          <w:rFonts w:ascii="Arial" w:hAnsi="Arial" w:cs="Arial"/>
          <w:lang w:eastAsia="pl-PL"/>
        </w:rPr>
        <w:t xml:space="preserve">, a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</w:t>
      </w:r>
      <w:r w:rsidR="00544033">
        <w:rPr>
          <w:rFonts w:ascii="Arial" w:hAnsi="Arial" w:cs="Arial"/>
        </w:rPr>
        <w:t>Opolskie</w:t>
      </w:r>
      <w:r>
        <w:rPr>
          <w:rFonts w:ascii="Arial" w:hAnsi="Arial" w:cs="Arial"/>
        </w:rPr>
        <w:t xml:space="preserve">.pl w dniu </w:t>
      </w:r>
      <w:r w:rsidR="004C01D3">
        <w:rPr>
          <w:rFonts w:ascii="Arial" w:hAnsi="Arial" w:cs="Arial"/>
        </w:rPr>
        <w:t>24.10.2015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0A5112" w:rsidP="0024680F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544033">
        <w:rPr>
          <w:rFonts w:ascii="Arial" w:hAnsi="Arial" w:cs="Arial"/>
        </w:rPr>
        <w:t>u</w:t>
      </w:r>
      <w:r w:rsidRPr="008E5255">
        <w:rPr>
          <w:rFonts w:ascii="Arial" w:hAnsi="Arial" w:cs="Arial"/>
        </w:rPr>
        <w:t xml:space="preserve">sługa organizacji wyjazdu monitorującego realizację praktyk uczniowskich na terenie </w:t>
      </w:r>
      <w:r w:rsidR="00544033">
        <w:rPr>
          <w:rFonts w:ascii="Arial" w:hAnsi="Arial" w:cs="Arial"/>
        </w:rPr>
        <w:t>Niemiec</w:t>
      </w:r>
      <w:r w:rsidRPr="008E5255">
        <w:rPr>
          <w:rFonts w:ascii="Arial" w:hAnsi="Arial" w:cs="Arial"/>
        </w:rPr>
        <w:t xml:space="preserve"> w ramach projektu pod nazwą: „</w:t>
      </w:r>
      <w:r w:rsidR="00544033">
        <w:rPr>
          <w:rFonts w:ascii="Arial" w:hAnsi="Arial" w:cs="Arial"/>
        </w:rPr>
        <w:t>Opolskie</w:t>
      </w:r>
      <w:r w:rsidRPr="008E5255">
        <w:rPr>
          <w:rFonts w:ascii="Arial" w:hAnsi="Arial" w:cs="Arial"/>
        </w:rPr>
        <w:t xml:space="preserve"> szkolnictwo zaw</w:t>
      </w:r>
      <w:r w:rsidRPr="008E5255">
        <w:rPr>
          <w:rFonts w:ascii="Arial" w:hAnsi="Arial" w:cs="Arial"/>
        </w:rPr>
        <w:t>o</w:t>
      </w:r>
      <w:r w:rsidRPr="008E5255">
        <w:rPr>
          <w:rFonts w:ascii="Arial" w:hAnsi="Arial" w:cs="Arial"/>
        </w:rPr>
        <w:t>dowe bliżej rynku pracy”</w:t>
      </w:r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</w:t>
      </w:r>
      <w:r w:rsidR="00544033">
        <w:rPr>
          <w:rFonts w:ascii="Arial" w:hAnsi="Arial" w:cs="Arial"/>
        </w:rPr>
        <w:t>Opolskie</w:t>
      </w:r>
      <w:r w:rsidRPr="00FB4F69">
        <w:rPr>
          <w:rFonts w:ascii="Arial" w:hAnsi="Arial" w:cs="Arial"/>
        </w:rPr>
        <w:t xml:space="preserve">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544033">
        <w:rPr>
          <w:rFonts w:ascii="Arial" w:hAnsi="Arial" w:cs="Arial"/>
          <w:b/>
        </w:rPr>
        <w:t>1</w:t>
      </w:r>
      <w:r w:rsidR="00D32755">
        <w:rPr>
          <w:rFonts w:ascii="Arial" w:hAnsi="Arial" w:cs="Arial"/>
          <w:b/>
        </w:rPr>
        <w:t>2</w:t>
      </w:r>
      <w:r w:rsidR="000A5112">
        <w:rPr>
          <w:rFonts w:ascii="Arial" w:hAnsi="Arial" w:cs="Arial"/>
          <w:b/>
        </w:rPr>
        <w:t xml:space="preserve">. – </w:t>
      </w:r>
      <w:r w:rsidR="00544033">
        <w:rPr>
          <w:rFonts w:ascii="Arial" w:hAnsi="Arial" w:cs="Arial"/>
          <w:b/>
        </w:rPr>
        <w:t>1</w:t>
      </w:r>
      <w:r w:rsidR="00D32755">
        <w:rPr>
          <w:rFonts w:ascii="Arial" w:hAnsi="Arial" w:cs="Arial"/>
          <w:b/>
        </w:rPr>
        <w:t>4</w:t>
      </w:r>
      <w:r w:rsidR="000A5112">
        <w:rPr>
          <w:rFonts w:ascii="Arial" w:hAnsi="Arial" w:cs="Arial"/>
          <w:b/>
        </w:rPr>
        <w:t>.</w:t>
      </w:r>
      <w:r w:rsidR="00D32755">
        <w:rPr>
          <w:rFonts w:ascii="Arial" w:hAnsi="Arial" w:cs="Arial"/>
          <w:b/>
        </w:rPr>
        <w:t>11</w:t>
      </w:r>
      <w:r w:rsidR="000A5112">
        <w:rPr>
          <w:rFonts w:ascii="Arial" w:hAnsi="Arial" w:cs="Arial"/>
          <w:b/>
        </w:rPr>
        <w:t>.2015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B21E7" w:rsidRDefault="007E2B49" w:rsidP="00ED0033">
      <w:pPr>
        <w:ind w:left="567"/>
        <w:rPr>
          <w:rFonts w:ascii="Arial" w:hAnsi="Arial" w:cs="Arial"/>
        </w:rPr>
      </w:pPr>
      <w:r w:rsidRPr="001B21E7">
        <w:rPr>
          <w:rFonts w:ascii="Arial" w:hAnsi="Arial" w:cs="Arial"/>
        </w:rPr>
        <w:t xml:space="preserve">Postępowanie, którego dotyczy niniejsza SIWZ, oznaczone jest znakiem: </w:t>
      </w:r>
      <w:r w:rsidR="001B21E7" w:rsidRPr="001B21E7">
        <w:rPr>
          <w:rFonts w:ascii="Arial" w:hAnsi="Arial" w:cs="Arial"/>
          <w:b/>
        </w:rPr>
        <w:t>78</w:t>
      </w:r>
      <w:r w:rsidR="004E6679" w:rsidRPr="001B21E7">
        <w:rPr>
          <w:rFonts w:ascii="Arial" w:hAnsi="Arial" w:cs="Arial"/>
          <w:b/>
        </w:rPr>
        <w:t>/ZP/RCRE/POKL9.2/2015</w:t>
      </w:r>
      <w:r w:rsidRPr="001B21E7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B21E7">
        <w:rPr>
          <w:rFonts w:ascii="Arial" w:hAnsi="Arial" w:cs="Arial"/>
          <w:b/>
          <w:bCs/>
        </w:rPr>
        <w:t xml:space="preserve">Adres do korespondencji z </w:t>
      </w:r>
      <w:r w:rsidR="0027420E" w:rsidRPr="001B21E7">
        <w:rPr>
          <w:rFonts w:ascii="Arial" w:hAnsi="Arial" w:cs="Arial"/>
          <w:b/>
          <w:bCs/>
        </w:rPr>
        <w:t>Z</w:t>
      </w:r>
      <w:r w:rsidRPr="001B21E7">
        <w:rPr>
          <w:rFonts w:ascii="Arial" w:hAnsi="Arial" w:cs="Arial"/>
          <w:b/>
          <w:bCs/>
        </w:rPr>
        <w:t>amawiającym</w:t>
      </w:r>
      <w:r w:rsidRPr="00FB4F69">
        <w:rPr>
          <w:rFonts w:ascii="Arial" w:hAnsi="Arial" w:cs="Arial"/>
          <w:b/>
          <w:bCs/>
        </w:rPr>
        <w:t>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</w:t>
      </w:r>
      <w:r w:rsidR="00544033">
        <w:rPr>
          <w:rFonts w:ascii="Arial" w:hAnsi="Arial" w:cs="Arial"/>
        </w:rPr>
        <w:t>Opolskie</w:t>
      </w:r>
      <w:r w:rsidR="0060195B" w:rsidRPr="004736EF">
        <w:rPr>
          <w:rFonts w:ascii="Arial" w:hAnsi="Arial" w:cs="Arial"/>
        </w:rPr>
        <w:t>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0A5112" w:rsidRPr="00B90B65" w:rsidRDefault="00B90B65" w:rsidP="000A5112">
      <w:pPr>
        <w:spacing w:before="120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Adam Koj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 xml:space="preserve">- </w:t>
      </w:r>
      <w:r w:rsidRPr="00B90B65">
        <w:rPr>
          <w:rFonts w:ascii="Arial" w:hAnsi="Arial" w:cs="Arial"/>
          <w:bCs/>
        </w:rPr>
        <w:t>Kierownik projektu</w:t>
      </w:r>
    </w:p>
    <w:p w:rsidR="0060195B" w:rsidRPr="00BC20E5" w:rsidRDefault="000A5112" w:rsidP="000A5112">
      <w:pPr>
        <w:spacing w:before="120"/>
        <w:ind w:left="2977"/>
        <w:rPr>
          <w:rFonts w:ascii="Arial" w:hAnsi="Arial" w:cs="Arial"/>
          <w:bCs/>
        </w:rPr>
      </w:pPr>
      <w:r w:rsidRPr="00B90B65">
        <w:rPr>
          <w:rFonts w:ascii="Arial" w:hAnsi="Arial" w:cs="Arial"/>
          <w:bCs/>
        </w:rPr>
        <w:t xml:space="preserve">tel. </w:t>
      </w:r>
      <w:r w:rsidR="004E6679" w:rsidRPr="00B90B65">
        <w:rPr>
          <w:rFonts w:ascii="Arial" w:hAnsi="Arial" w:cs="Arial"/>
          <w:bCs/>
        </w:rPr>
        <w:t>77 40475</w:t>
      </w:r>
      <w:r w:rsidR="00B90B65" w:rsidRPr="00B90B65">
        <w:rPr>
          <w:rFonts w:ascii="Arial" w:hAnsi="Arial" w:cs="Arial"/>
          <w:bCs/>
        </w:rPr>
        <w:t>45</w:t>
      </w:r>
      <w:r w:rsidR="004E6679" w:rsidRPr="00B90B65">
        <w:rPr>
          <w:rFonts w:ascii="Arial" w:hAnsi="Arial" w:cs="Arial"/>
          <w:bCs/>
        </w:rPr>
        <w:t>,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  <w:r w:rsidR="004E6679">
        <w:rPr>
          <w:rFonts w:ascii="Arial" w:hAnsi="Arial" w:cs="Arial"/>
          <w:bCs/>
        </w:rPr>
        <w:t>,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Pr="00DE569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DA1E53">
        <w:rPr>
          <w:rFonts w:ascii="Arial" w:hAnsi="Arial" w:cs="Arial"/>
        </w:rPr>
        <w:t xml:space="preserve">zobowiązany jest, przed upływem terminu składania ofert, wnieść wadium w </w:t>
      </w:r>
      <w:r w:rsidRPr="00DE5699">
        <w:rPr>
          <w:rFonts w:ascii="Arial" w:hAnsi="Arial" w:cs="Arial"/>
        </w:rPr>
        <w:t xml:space="preserve">wysokości: </w:t>
      </w:r>
      <w:r w:rsidR="00DA1E53" w:rsidRPr="00DE5699">
        <w:rPr>
          <w:rFonts w:ascii="Arial" w:hAnsi="Arial" w:cs="Arial"/>
          <w:b/>
        </w:rPr>
        <w:t>1</w:t>
      </w:r>
      <w:r w:rsidR="00DE5699" w:rsidRPr="00DE5699">
        <w:rPr>
          <w:rFonts w:ascii="Arial" w:hAnsi="Arial" w:cs="Arial"/>
          <w:b/>
        </w:rPr>
        <w:t>5</w:t>
      </w:r>
      <w:r w:rsidR="0024680F" w:rsidRPr="00DE5699">
        <w:rPr>
          <w:rFonts w:ascii="Arial" w:hAnsi="Arial" w:cs="Arial"/>
          <w:b/>
        </w:rPr>
        <w:t>0,00 zł</w:t>
      </w:r>
      <w:r w:rsidR="0024680F" w:rsidRPr="00DE5699">
        <w:rPr>
          <w:rFonts w:ascii="Arial" w:hAnsi="Arial" w:cs="Arial"/>
        </w:rPr>
        <w:t xml:space="preserve"> (słownie: </w:t>
      </w:r>
      <w:r w:rsidR="00DA1E53" w:rsidRPr="00DE5699">
        <w:rPr>
          <w:rFonts w:ascii="Arial" w:hAnsi="Arial" w:cs="Arial"/>
        </w:rPr>
        <w:t>sto</w:t>
      </w:r>
      <w:r w:rsidR="0024680F" w:rsidRPr="00DE5699">
        <w:rPr>
          <w:rFonts w:ascii="Arial" w:hAnsi="Arial" w:cs="Arial"/>
        </w:rPr>
        <w:t xml:space="preserve"> </w:t>
      </w:r>
      <w:r w:rsidR="00DE5699" w:rsidRPr="00DE5699">
        <w:rPr>
          <w:rFonts w:ascii="Arial" w:hAnsi="Arial" w:cs="Arial"/>
        </w:rPr>
        <w:t xml:space="preserve">pięćdziesiąt </w:t>
      </w:r>
      <w:r w:rsidR="0024680F" w:rsidRPr="00DE5699">
        <w:rPr>
          <w:rFonts w:ascii="Arial" w:hAnsi="Arial" w:cs="Arial"/>
        </w:rPr>
        <w:t>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1B21E7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1B21E7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1B21E7">
        <w:rPr>
          <w:rFonts w:ascii="Arial" w:hAnsi="Arial" w:cs="Arial"/>
        </w:rPr>
        <w:t xml:space="preserve">z adnotacją: Wadium w postępowaniu nr </w:t>
      </w:r>
      <w:r w:rsidR="001B21E7" w:rsidRPr="001B21E7">
        <w:rPr>
          <w:rFonts w:ascii="Arial" w:hAnsi="Arial" w:cs="Arial"/>
        </w:rPr>
        <w:t>78</w:t>
      </w:r>
      <w:r w:rsidR="004E6679" w:rsidRPr="001B21E7">
        <w:rPr>
          <w:rFonts w:ascii="Arial" w:hAnsi="Arial" w:cs="Arial"/>
        </w:rPr>
        <w:t>/ZP/RCRE/POKL9.2/2015</w:t>
      </w:r>
      <w:r w:rsidR="0024680F" w:rsidRPr="001B21E7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</w:t>
      </w:r>
      <w:r w:rsidR="005D5C4B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>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B07964">
      <w:pPr>
        <w:spacing w:before="120"/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powinna być napisana w języku </w:t>
      </w:r>
      <w:r w:rsidR="00544033">
        <w:rPr>
          <w:rFonts w:ascii="Arial" w:hAnsi="Arial" w:cs="Arial"/>
        </w:rPr>
        <w:t>polski</w:t>
      </w:r>
      <w:r w:rsidRPr="00FB4F69">
        <w:rPr>
          <w:rFonts w:ascii="Arial" w:hAnsi="Arial" w:cs="Arial"/>
        </w:rPr>
        <w:t>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B07964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</w:t>
      </w:r>
      <w:r w:rsidR="00B07964">
        <w:rPr>
          <w:rFonts w:ascii="Arial" w:hAnsi="Arial" w:cs="Arial"/>
        </w:rPr>
        <w:t xml:space="preserve">tekst jednolity </w:t>
      </w:r>
      <w:r w:rsidR="00B07964" w:rsidRPr="00B07964">
        <w:rPr>
          <w:rFonts w:ascii="Arial" w:hAnsi="Arial" w:cs="Arial"/>
        </w:rPr>
        <w:t xml:space="preserve">Dz.U. </w:t>
      </w:r>
      <w:r w:rsidR="00B07964">
        <w:rPr>
          <w:rFonts w:ascii="Arial" w:hAnsi="Arial" w:cs="Arial"/>
        </w:rPr>
        <w:t xml:space="preserve">z </w:t>
      </w:r>
      <w:r w:rsidR="00B07964" w:rsidRPr="00B07964">
        <w:rPr>
          <w:rFonts w:ascii="Arial" w:hAnsi="Arial" w:cs="Arial"/>
        </w:rPr>
        <w:t>2003</w:t>
      </w:r>
      <w:r w:rsidR="00B07964">
        <w:rPr>
          <w:rFonts w:ascii="Arial" w:hAnsi="Arial" w:cs="Arial"/>
        </w:rPr>
        <w:t xml:space="preserve"> r.</w:t>
      </w:r>
      <w:r w:rsidR="00B07964" w:rsidRPr="00B07964">
        <w:rPr>
          <w:rFonts w:ascii="Arial" w:hAnsi="Arial" w:cs="Arial"/>
        </w:rPr>
        <w:t xml:space="preserve"> </w:t>
      </w:r>
      <w:r w:rsidR="00B07964">
        <w:rPr>
          <w:rFonts w:ascii="Arial" w:hAnsi="Arial" w:cs="Arial"/>
        </w:rPr>
        <w:t>N</w:t>
      </w:r>
      <w:r w:rsidR="00B07964" w:rsidRPr="00B07964">
        <w:rPr>
          <w:rFonts w:ascii="Arial" w:hAnsi="Arial" w:cs="Arial"/>
        </w:rPr>
        <w:t>r 153</w:t>
      </w:r>
      <w:r w:rsidR="00B07964">
        <w:rPr>
          <w:rFonts w:ascii="Arial" w:hAnsi="Arial" w:cs="Arial"/>
        </w:rPr>
        <w:t>,</w:t>
      </w:r>
      <w:r w:rsidR="00B07964" w:rsidRPr="00B07964">
        <w:rPr>
          <w:rFonts w:ascii="Arial" w:hAnsi="Arial" w:cs="Arial"/>
        </w:rPr>
        <w:t xml:space="preserve"> poz. 1503</w:t>
      </w:r>
      <w:r w:rsidRPr="00FB4F69">
        <w:rPr>
          <w:rFonts w:ascii="Arial" w:hAnsi="Arial" w:cs="Arial"/>
        </w:rPr>
        <w:t xml:space="preserve">, ze </w:t>
      </w:r>
      <w:r w:rsidRPr="00FB4F69">
        <w:rPr>
          <w:rFonts w:ascii="Arial" w:hAnsi="Arial" w:cs="Arial"/>
        </w:rPr>
        <w:lastRenderedPageBreak/>
        <w:t xml:space="preserve">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24680F" w:rsidRPr="0024680F">
        <w:rPr>
          <w:rFonts w:ascii="Arial" w:hAnsi="Arial" w:cs="Arial"/>
          <w:b/>
          <w:u w:val="single"/>
        </w:rPr>
        <w:t xml:space="preserve">organizacji </w:t>
      </w:r>
      <w:r w:rsidR="00B07964" w:rsidRPr="00B07964">
        <w:rPr>
          <w:rFonts w:ascii="Arial" w:hAnsi="Arial" w:cs="Arial"/>
          <w:b/>
          <w:u w:val="single"/>
        </w:rPr>
        <w:t xml:space="preserve">wyjazdu monitorującego realizację praktyk uczniowskich na terenie </w:t>
      </w:r>
      <w:r w:rsidR="00544033">
        <w:rPr>
          <w:rFonts w:ascii="Arial" w:hAnsi="Arial" w:cs="Arial"/>
          <w:b/>
          <w:u w:val="single"/>
        </w:rPr>
        <w:t>Niemiec</w:t>
      </w:r>
      <w:r w:rsidR="00B07964" w:rsidRPr="00B07964">
        <w:rPr>
          <w:rFonts w:ascii="Arial" w:hAnsi="Arial" w:cs="Arial"/>
          <w:b/>
          <w:u w:val="single"/>
        </w:rPr>
        <w:t xml:space="preserve"> w ramach projektu pod nazwą: „</w:t>
      </w:r>
      <w:r w:rsidR="00544033">
        <w:rPr>
          <w:rFonts w:ascii="Arial" w:hAnsi="Arial" w:cs="Arial"/>
          <w:b/>
          <w:u w:val="single"/>
        </w:rPr>
        <w:t>Opolskie</w:t>
      </w:r>
      <w:r w:rsidR="00B07964" w:rsidRPr="00B07964">
        <w:rPr>
          <w:rFonts w:ascii="Arial" w:hAnsi="Arial" w:cs="Arial"/>
          <w:b/>
          <w:u w:val="single"/>
        </w:rPr>
        <w:t xml:space="preserve"> szkolnictwo zawodowe bl</w:t>
      </w:r>
      <w:r w:rsidR="00B07964" w:rsidRPr="00B07964">
        <w:rPr>
          <w:rFonts w:ascii="Arial" w:hAnsi="Arial" w:cs="Arial"/>
          <w:b/>
          <w:u w:val="single"/>
        </w:rPr>
        <w:t>i</w:t>
      </w:r>
      <w:r w:rsidR="00B07964" w:rsidRPr="00B07964">
        <w:rPr>
          <w:rFonts w:ascii="Arial" w:hAnsi="Arial" w:cs="Arial"/>
          <w:b/>
          <w:u w:val="single"/>
        </w:rPr>
        <w:t>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DA1E53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DA1E53">
        <w:rPr>
          <w:rFonts w:ascii="Arial" w:hAnsi="Arial" w:cs="Arial"/>
          <w:b/>
          <w:bCs/>
          <w:u w:val="single"/>
        </w:rPr>
        <w:t xml:space="preserve">dnia </w:t>
      </w:r>
      <w:r w:rsidR="00921E36">
        <w:rPr>
          <w:rFonts w:ascii="Arial" w:hAnsi="Arial" w:cs="Arial"/>
          <w:b/>
          <w:bCs/>
          <w:u w:val="single"/>
        </w:rPr>
        <w:t>30</w:t>
      </w:r>
      <w:r w:rsidRPr="00DA1E53">
        <w:rPr>
          <w:rFonts w:ascii="Arial" w:hAnsi="Arial" w:cs="Arial"/>
          <w:b/>
          <w:bCs/>
          <w:u w:val="single"/>
        </w:rPr>
        <w:t>.</w:t>
      </w:r>
      <w:r w:rsidR="00921E36">
        <w:rPr>
          <w:rFonts w:ascii="Arial" w:hAnsi="Arial" w:cs="Arial"/>
          <w:b/>
          <w:bCs/>
          <w:u w:val="single"/>
        </w:rPr>
        <w:t>10</w:t>
      </w:r>
      <w:r w:rsidRPr="00DA1E53">
        <w:rPr>
          <w:rFonts w:ascii="Arial" w:hAnsi="Arial" w:cs="Arial"/>
          <w:b/>
          <w:bCs/>
          <w:u w:val="single"/>
        </w:rPr>
        <w:t>.2015 r.</w:t>
      </w:r>
      <w:r w:rsidR="007E2B49" w:rsidRPr="00DA1E53">
        <w:rPr>
          <w:rFonts w:ascii="Arial" w:hAnsi="Arial" w:cs="Arial"/>
          <w:b/>
          <w:bCs/>
          <w:u w:val="single"/>
        </w:rPr>
        <w:t>”</w:t>
      </w:r>
    </w:p>
    <w:p w:rsidR="007E2B49" w:rsidRPr="00DA1E53" w:rsidRDefault="007E2B49" w:rsidP="00D45D1C">
      <w:pPr>
        <w:ind w:left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DA1E53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A1E5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DA1E53">
        <w:rPr>
          <w:rFonts w:ascii="Arial" w:hAnsi="Arial" w:cs="Arial"/>
        </w:rPr>
        <w:t>pokój 1.24</w:t>
      </w:r>
      <w:r w:rsidRPr="00DA1E53">
        <w:rPr>
          <w:rFonts w:ascii="Arial" w:hAnsi="Arial" w:cs="Arial"/>
        </w:rPr>
        <w:t xml:space="preserve">, 45-315 Opole </w:t>
      </w:r>
      <w:r w:rsidRPr="00DA1E53">
        <w:rPr>
          <w:rFonts w:ascii="Arial" w:hAnsi="Arial" w:cs="Arial"/>
          <w:b/>
          <w:bCs/>
        </w:rPr>
        <w:t xml:space="preserve">do dnia </w:t>
      </w:r>
      <w:r w:rsidR="00921E36">
        <w:rPr>
          <w:rFonts w:ascii="Arial" w:hAnsi="Arial" w:cs="Arial"/>
          <w:b/>
          <w:bCs/>
        </w:rPr>
        <w:t>30</w:t>
      </w:r>
      <w:r w:rsidR="009B1A0B" w:rsidRPr="00DA1E53">
        <w:rPr>
          <w:rFonts w:ascii="Arial" w:hAnsi="Arial" w:cs="Arial"/>
          <w:b/>
          <w:bCs/>
        </w:rPr>
        <w:t>.</w:t>
      </w:r>
      <w:r w:rsidR="00921E36">
        <w:rPr>
          <w:rFonts w:ascii="Arial" w:hAnsi="Arial" w:cs="Arial"/>
          <w:b/>
          <w:bCs/>
        </w:rPr>
        <w:t>10</w:t>
      </w:r>
      <w:r w:rsidR="00E06E72" w:rsidRPr="00DA1E53">
        <w:rPr>
          <w:rFonts w:ascii="Arial" w:hAnsi="Arial" w:cs="Arial"/>
          <w:b/>
          <w:bCs/>
        </w:rPr>
        <w:t>.</w:t>
      </w:r>
      <w:r w:rsidRPr="00DA1E53">
        <w:rPr>
          <w:rFonts w:ascii="Arial" w:hAnsi="Arial" w:cs="Arial"/>
          <w:b/>
          <w:bCs/>
        </w:rPr>
        <w:t>201</w:t>
      </w:r>
      <w:r w:rsidR="00B60B85" w:rsidRPr="00DA1E53">
        <w:rPr>
          <w:rFonts w:ascii="Arial" w:hAnsi="Arial" w:cs="Arial"/>
          <w:b/>
          <w:bCs/>
        </w:rPr>
        <w:t>5</w:t>
      </w:r>
      <w:r w:rsidRPr="00DA1E53">
        <w:rPr>
          <w:rFonts w:ascii="Arial" w:hAnsi="Arial" w:cs="Arial"/>
          <w:b/>
          <w:bCs/>
        </w:rPr>
        <w:t xml:space="preserve"> r. do godziny</w:t>
      </w:r>
      <w:r w:rsidRPr="00DA1E53">
        <w:rPr>
          <w:rFonts w:ascii="Arial" w:hAnsi="Arial" w:cs="Arial"/>
        </w:rPr>
        <w:t xml:space="preserve"> </w:t>
      </w:r>
      <w:r w:rsidR="00E53E58" w:rsidRPr="00DA1E53">
        <w:rPr>
          <w:rFonts w:ascii="Arial" w:hAnsi="Arial" w:cs="Arial"/>
          <w:b/>
        </w:rPr>
        <w:t>1</w:t>
      </w:r>
      <w:r w:rsidR="009B1A0B" w:rsidRPr="00DA1E53">
        <w:rPr>
          <w:rFonts w:ascii="Arial" w:hAnsi="Arial" w:cs="Arial"/>
          <w:b/>
        </w:rPr>
        <w:t>0</w:t>
      </w:r>
      <w:r w:rsidRPr="00DA1E53">
        <w:rPr>
          <w:rFonts w:ascii="Arial" w:hAnsi="Arial" w:cs="Arial"/>
          <w:b/>
          <w:bCs/>
        </w:rPr>
        <w:t>:30</w:t>
      </w:r>
      <w:r w:rsidRPr="00DA1E53">
        <w:rPr>
          <w:rFonts w:ascii="Arial" w:hAnsi="Arial" w:cs="Arial"/>
        </w:rPr>
        <w:t>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 przypadku dostarczenia oferty pocztą lub pocztą kurierską, Zamawiający przyjmie za termin  złożenia oferty termin otrzymania przesyłki.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Możliwość przedłużenia terminu składania ofert dopuszcza się jedynie w sytuacjach określ</w:t>
      </w:r>
      <w:r w:rsidRPr="00DA1E53">
        <w:rPr>
          <w:rFonts w:ascii="Arial" w:hAnsi="Arial" w:cs="Arial"/>
        </w:rPr>
        <w:t>o</w:t>
      </w:r>
      <w:r w:rsidRPr="00DA1E53">
        <w:rPr>
          <w:rFonts w:ascii="Arial" w:hAnsi="Arial" w:cs="Arial"/>
        </w:rPr>
        <w:t>nych  w  art. 38 ust. 6 ustawy Prawo zamówień publicznych.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sad jak składana oferta (pkt 15.3</w:t>
      </w:r>
      <w:r w:rsidR="009B1A0B" w:rsidRPr="00DA1E53">
        <w:rPr>
          <w:rFonts w:ascii="Arial" w:hAnsi="Arial" w:cs="Arial"/>
        </w:rPr>
        <w:t>.</w:t>
      </w:r>
      <w:r w:rsidRPr="00DA1E53">
        <w:rPr>
          <w:rFonts w:ascii="Arial" w:hAnsi="Arial" w:cs="Arial"/>
        </w:rPr>
        <w:t xml:space="preserve"> SIWZ) oznaczonych dodatkowo napisem „ZMIANA”.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lastRenderedPageBreak/>
        <w:t>Koperty oznakowane dopiskiem „ZMIANA” zostaną otwarte przy otwieraniu oferty Wykona</w:t>
      </w:r>
      <w:r w:rsidRPr="00DA1E53">
        <w:rPr>
          <w:rFonts w:ascii="Arial" w:hAnsi="Arial" w:cs="Arial"/>
        </w:rPr>
        <w:t>w</w:t>
      </w:r>
      <w:r w:rsidRPr="00DA1E53">
        <w:rPr>
          <w:rFonts w:ascii="Arial" w:hAnsi="Arial" w:cs="Arial"/>
        </w:rPr>
        <w:t>cy, który wprowadził zmiany i po stwierdzeniu poprawności procedury dokonania zmian, z</w:t>
      </w:r>
      <w:r w:rsidRPr="00DA1E53">
        <w:rPr>
          <w:rFonts w:ascii="Arial" w:hAnsi="Arial" w:cs="Arial"/>
        </w:rPr>
        <w:t>o</w:t>
      </w:r>
      <w:r w:rsidRPr="00DA1E53">
        <w:rPr>
          <w:rFonts w:ascii="Arial" w:hAnsi="Arial" w:cs="Arial"/>
        </w:rPr>
        <w:t>staną dołączone do oferty.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Wykonawca ma prawo przed upływem terminu składania ofert wycofać swoją ofertę z post</w:t>
      </w:r>
      <w:r w:rsidRPr="00DA1E53">
        <w:rPr>
          <w:rFonts w:ascii="Arial" w:hAnsi="Arial" w:cs="Arial"/>
        </w:rPr>
        <w:t>ę</w:t>
      </w:r>
      <w:r w:rsidRPr="00DA1E53">
        <w:rPr>
          <w:rFonts w:ascii="Arial" w:hAnsi="Arial" w:cs="Arial"/>
        </w:rPr>
        <w:t>powania poprzez złożenie pisemnego powiadomienia (wg takich samych zasad jak wprow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dzanie zmian, poprawek i uzupełnień) z napisem na kopercie „WYCOFANIE”.</w:t>
      </w:r>
    </w:p>
    <w:p w:rsidR="007E2B49" w:rsidRPr="00DA1E53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DA1E53">
        <w:rPr>
          <w:rFonts w:ascii="Arial" w:hAnsi="Arial" w:cs="Arial"/>
        </w:rPr>
        <w:t>a</w:t>
      </w:r>
      <w:r w:rsidRPr="00DA1E53">
        <w:rPr>
          <w:rFonts w:ascii="Arial" w:hAnsi="Arial" w:cs="Arial"/>
        </w:rPr>
        <w:t>dane.</w:t>
      </w:r>
    </w:p>
    <w:p w:rsidR="003938A1" w:rsidRPr="00DA1E53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A1E5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DA1E53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A1E5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Otwarcie ofert nastąpi w Regionalnym Centrum Rozwoju </w:t>
      </w:r>
      <w:r w:rsidR="003938A1" w:rsidRPr="00DA1E53">
        <w:rPr>
          <w:rFonts w:ascii="Arial" w:hAnsi="Arial" w:cs="Arial"/>
        </w:rPr>
        <w:t>Edukacji ul</w:t>
      </w:r>
      <w:r w:rsidRPr="00DA1E53">
        <w:rPr>
          <w:rFonts w:ascii="Arial" w:hAnsi="Arial" w:cs="Arial"/>
        </w:rPr>
        <w:t>. Głogowska 27, pokój numer 2.4 I piętro</w:t>
      </w:r>
      <w:r w:rsidRPr="00DA1E53">
        <w:rPr>
          <w:rFonts w:ascii="Arial" w:hAnsi="Arial" w:cs="Arial"/>
          <w:i/>
          <w:iCs/>
        </w:rPr>
        <w:t xml:space="preserve"> </w:t>
      </w:r>
      <w:r w:rsidRPr="00DA1E53">
        <w:rPr>
          <w:rFonts w:ascii="Arial" w:hAnsi="Arial" w:cs="Arial"/>
        </w:rPr>
        <w:t xml:space="preserve">45-315 Opole, </w:t>
      </w:r>
      <w:r w:rsidRPr="00DA1E53">
        <w:rPr>
          <w:rFonts w:ascii="Arial" w:hAnsi="Arial" w:cs="Arial"/>
          <w:b/>
          <w:bCs/>
        </w:rPr>
        <w:t xml:space="preserve">w dniu </w:t>
      </w:r>
      <w:r w:rsidR="00921E36">
        <w:rPr>
          <w:rFonts w:ascii="Arial" w:hAnsi="Arial" w:cs="Arial"/>
          <w:b/>
          <w:bCs/>
        </w:rPr>
        <w:t>30</w:t>
      </w:r>
      <w:r w:rsidR="00B60B85" w:rsidRPr="00DA1E53">
        <w:rPr>
          <w:rFonts w:ascii="Arial" w:hAnsi="Arial" w:cs="Arial"/>
          <w:b/>
          <w:bCs/>
        </w:rPr>
        <w:t>.</w:t>
      </w:r>
      <w:r w:rsidR="00921E36">
        <w:rPr>
          <w:rFonts w:ascii="Arial" w:hAnsi="Arial" w:cs="Arial"/>
          <w:b/>
          <w:bCs/>
        </w:rPr>
        <w:t>10</w:t>
      </w:r>
      <w:r w:rsidR="00B60B85" w:rsidRPr="00DA1E53">
        <w:rPr>
          <w:rFonts w:ascii="Arial" w:hAnsi="Arial" w:cs="Arial"/>
          <w:b/>
          <w:bCs/>
        </w:rPr>
        <w:t xml:space="preserve">.2015 </w:t>
      </w:r>
      <w:r w:rsidR="00092776" w:rsidRPr="00DA1E53">
        <w:rPr>
          <w:rFonts w:ascii="Arial" w:hAnsi="Arial" w:cs="Arial"/>
          <w:b/>
          <w:bCs/>
        </w:rPr>
        <w:t>r.</w:t>
      </w:r>
      <w:r w:rsidR="00092776" w:rsidRPr="00C70F99">
        <w:rPr>
          <w:rFonts w:ascii="Arial" w:hAnsi="Arial" w:cs="Arial"/>
          <w:b/>
          <w:bCs/>
        </w:rPr>
        <w:t xml:space="preserve">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743741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 wyborze oferty </w:t>
      </w:r>
      <w:r w:rsidRPr="00743741">
        <w:rPr>
          <w:rFonts w:ascii="Arial" w:hAnsi="Arial" w:cs="Arial"/>
        </w:rPr>
        <w:t>najkorzystniejszej Zamawiający będzie kierował się jednym kryterium:</w:t>
      </w:r>
    </w:p>
    <w:p w:rsidR="00EB363F" w:rsidRPr="00743741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743741">
        <w:rPr>
          <w:rFonts w:ascii="Arial" w:hAnsi="Arial" w:cs="Arial"/>
          <w:b/>
        </w:rPr>
        <w:t>cena</w:t>
      </w:r>
      <w:r w:rsidRPr="00743741">
        <w:rPr>
          <w:rFonts w:ascii="Arial" w:hAnsi="Arial" w:cs="Arial"/>
        </w:rPr>
        <w:t xml:space="preserve"> (C</w:t>
      </w:r>
      <w:r w:rsidRPr="00743741">
        <w:rPr>
          <w:rFonts w:ascii="Arial" w:hAnsi="Arial" w:cs="Arial"/>
          <w:vertAlign w:val="subscript"/>
        </w:rPr>
        <w:t>a</w:t>
      </w:r>
      <w:r w:rsidRPr="00743741">
        <w:rPr>
          <w:rFonts w:ascii="Arial" w:hAnsi="Arial" w:cs="Arial"/>
        </w:rPr>
        <w:t>)</w:t>
      </w:r>
      <w:r w:rsidRPr="00743741">
        <w:rPr>
          <w:rFonts w:ascii="Arial" w:hAnsi="Arial" w:cs="Arial"/>
        </w:rPr>
        <w:tab/>
      </w:r>
      <w:r w:rsidRPr="00743741">
        <w:rPr>
          <w:rFonts w:ascii="Arial" w:hAnsi="Arial" w:cs="Arial"/>
        </w:rPr>
        <w:tab/>
      </w:r>
      <w:r w:rsidRPr="00743741">
        <w:rPr>
          <w:rFonts w:ascii="Arial" w:hAnsi="Arial" w:cs="Arial"/>
        </w:rPr>
        <w:tab/>
        <w:t>9</w:t>
      </w:r>
      <w:r w:rsidR="00743741">
        <w:rPr>
          <w:rFonts w:ascii="Arial" w:hAnsi="Arial" w:cs="Arial"/>
        </w:rPr>
        <w:t>0</w:t>
      </w:r>
      <w:r w:rsidRPr="00743741">
        <w:rPr>
          <w:rFonts w:ascii="Arial" w:hAnsi="Arial" w:cs="Arial"/>
        </w:rPr>
        <w:t xml:space="preserve"> %,</w:t>
      </w:r>
    </w:p>
    <w:p w:rsidR="00EB363F" w:rsidRPr="00743741" w:rsidRDefault="00544AD2" w:rsidP="00B07964">
      <w:pPr>
        <w:numPr>
          <w:ilvl w:val="0"/>
          <w:numId w:val="47"/>
        </w:numPr>
        <w:tabs>
          <w:tab w:val="clear" w:pos="1080"/>
        </w:tabs>
        <w:spacing w:before="120" w:after="0"/>
        <w:ind w:left="709" w:hanging="425"/>
        <w:jc w:val="both"/>
        <w:rPr>
          <w:rFonts w:ascii="Arial" w:hAnsi="Arial" w:cs="Arial"/>
        </w:rPr>
      </w:pPr>
      <w:r w:rsidRPr="00743741">
        <w:rPr>
          <w:rFonts w:ascii="Arial" w:hAnsi="Arial" w:cs="Arial"/>
          <w:b/>
        </w:rPr>
        <w:t>doświadczenie</w:t>
      </w:r>
      <w:r w:rsidR="00EB363F" w:rsidRPr="00743741">
        <w:rPr>
          <w:rFonts w:ascii="Arial" w:hAnsi="Arial" w:cs="Arial"/>
          <w:b/>
        </w:rPr>
        <w:t xml:space="preserve"> </w:t>
      </w:r>
      <w:r w:rsidR="00EB363F" w:rsidRPr="00743741">
        <w:rPr>
          <w:rFonts w:ascii="Arial" w:hAnsi="Arial" w:cs="Arial"/>
        </w:rPr>
        <w:t>(</w:t>
      </w:r>
      <w:r w:rsidRPr="00743741">
        <w:rPr>
          <w:rFonts w:ascii="Arial" w:hAnsi="Arial" w:cs="Arial"/>
        </w:rPr>
        <w:t>D</w:t>
      </w:r>
      <w:r w:rsidRPr="00743741">
        <w:rPr>
          <w:rFonts w:ascii="Arial" w:hAnsi="Arial" w:cs="Arial"/>
          <w:vertAlign w:val="subscript"/>
        </w:rPr>
        <w:t>o</w:t>
      </w:r>
      <w:r w:rsidR="00EB363F" w:rsidRPr="00743741">
        <w:rPr>
          <w:rFonts w:ascii="Arial" w:hAnsi="Arial" w:cs="Arial"/>
        </w:rPr>
        <w:t>)</w:t>
      </w:r>
      <w:r w:rsidR="00EB363F" w:rsidRPr="00743741">
        <w:rPr>
          <w:rFonts w:ascii="Arial" w:hAnsi="Arial" w:cs="Arial"/>
        </w:rPr>
        <w:tab/>
      </w:r>
      <w:r w:rsidR="00EB363F" w:rsidRPr="00743741">
        <w:rPr>
          <w:rFonts w:ascii="Arial" w:hAnsi="Arial" w:cs="Arial"/>
        </w:rPr>
        <w:tab/>
      </w:r>
      <w:r w:rsidR="00743741">
        <w:rPr>
          <w:rFonts w:ascii="Arial" w:hAnsi="Arial" w:cs="Arial"/>
        </w:rPr>
        <w:t>10</w:t>
      </w:r>
      <w:r w:rsidR="00EB363F" w:rsidRPr="00743741">
        <w:rPr>
          <w:rFonts w:ascii="Arial" w:hAnsi="Arial" w:cs="Arial"/>
        </w:rPr>
        <w:t xml:space="preserve">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Ocena ofert będzie dokonana komisyjnie i będzie przebiegała</w:t>
      </w:r>
      <w:r>
        <w:rPr>
          <w:rFonts w:ascii="Arial" w:hAnsi="Arial" w:cs="Arial"/>
        </w:rPr>
        <w:t xml:space="preserve">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743741">
        <w:rPr>
          <w:rFonts w:ascii="Arial" w:hAnsi="Arial" w:cs="Arial"/>
        </w:rPr>
        <w:t>0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743741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 w:rsidR="00544AD2"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 w:rsidR="00544AD2">
        <w:rPr>
          <w:rFonts w:ascii="Arial" w:hAnsi="Arial" w:cs="Arial"/>
        </w:rPr>
        <w:t>D</w:t>
      </w:r>
      <w:r w:rsidR="00544AD2" w:rsidRPr="00544AD2"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544AD2" w:rsidRDefault="00544AD2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F47A8C">
        <w:rPr>
          <w:rFonts w:ascii="Arial" w:hAnsi="Arial" w:cs="Arial"/>
        </w:rPr>
        <w:t xml:space="preserve">Punkty za </w:t>
      </w:r>
      <w:r w:rsidRPr="00B90B65">
        <w:rPr>
          <w:rFonts w:ascii="Arial" w:hAnsi="Arial" w:cs="Arial"/>
        </w:rPr>
        <w:t xml:space="preserve">kryterium „doświadczenie” zostaną przyznane w skali od 0 do 10, na podstawie </w:t>
      </w:r>
      <w:r w:rsidR="00717436">
        <w:rPr>
          <w:rFonts w:ascii="Arial" w:hAnsi="Arial" w:cs="Arial"/>
        </w:rPr>
        <w:t>z</w:t>
      </w:r>
      <w:r w:rsidR="00717436">
        <w:rPr>
          <w:rFonts w:ascii="Arial" w:hAnsi="Arial" w:cs="Arial"/>
        </w:rPr>
        <w:t>e</w:t>
      </w:r>
      <w:r w:rsidR="00717436">
        <w:rPr>
          <w:rFonts w:ascii="Arial" w:hAnsi="Arial" w:cs="Arial"/>
        </w:rPr>
        <w:t>stawienia referencji (</w:t>
      </w:r>
      <w:r w:rsidR="00717436" w:rsidRPr="00FB4F69">
        <w:rPr>
          <w:rFonts w:ascii="Arial" w:hAnsi="Arial" w:cs="Arial"/>
          <w:b/>
          <w:bCs/>
        </w:rPr>
        <w:t xml:space="preserve">załącznik nr </w:t>
      </w:r>
      <w:r w:rsidR="00717436">
        <w:rPr>
          <w:rFonts w:ascii="Arial" w:hAnsi="Arial" w:cs="Arial"/>
          <w:b/>
          <w:bCs/>
        </w:rPr>
        <w:t>4</w:t>
      </w:r>
      <w:r w:rsidR="00717436" w:rsidRPr="00FB4F69">
        <w:rPr>
          <w:rFonts w:ascii="Arial" w:hAnsi="Arial" w:cs="Arial"/>
        </w:rPr>
        <w:t xml:space="preserve"> do SIWZ</w:t>
      </w:r>
      <w:r w:rsidR="00717436">
        <w:rPr>
          <w:rFonts w:ascii="Arial" w:hAnsi="Arial" w:cs="Arial"/>
        </w:rPr>
        <w:t>) i</w:t>
      </w:r>
      <w:r w:rsidR="00717436" w:rsidRPr="00B90B65">
        <w:rPr>
          <w:rFonts w:ascii="Arial" w:hAnsi="Arial" w:cs="Arial"/>
        </w:rPr>
        <w:t xml:space="preserve"> </w:t>
      </w:r>
      <w:r w:rsidRPr="00B90B65">
        <w:rPr>
          <w:rFonts w:ascii="Arial" w:hAnsi="Arial" w:cs="Arial"/>
        </w:rPr>
        <w:t xml:space="preserve">referencji wykazujących liczbę wykonanych usług, tj. </w:t>
      </w:r>
      <w:r w:rsidR="00921E36" w:rsidRPr="00134D57">
        <w:rPr>
          <w:rFonts w:ascii="Arial" w:hAnsi="Arial" w:cs="Arial"/>
          <w:b/>
        </w:rPr>
        <w:t>organizacji wyjazdów krajowych lub zagranicznych</w:t>
      </w:r>
      <w:r w:rsidRPr="00B90B65">
        <w:rPr>
          <w:rFonts w:ascii="Arial" w:hAnsi="Arial" w:cs="Arial"/>
        </w:rPr>
        <w:t xml:space="preserve"> w okresie ostatnich</w:t>
      </w:r>
      <w:r w:rsidRPr="00F47A8C">
        <w:rPr>
          <w:rFonts w:ascii="Arial" w:hAnsi="Arial" w:cs="Arial"/>
        </w:rPr>
        <w:t xml:space="preserve"> 12 mi</w:t>
      </w:r>
      <w:r w:rsidRPr="00F47A8C">
        <w:rPr>
          <w:rFonts w:ascii="Arial" w:hAnsi="Arial" w:cs="Arial"/>
        </w:rPr>
        <w:t>e</w:t>
      </w:r>
      <w:r w:rsidRPr="00F47A8C">
        <w:rPr>
          <w:rFonts w:ascii="Arial" w:hAnsi="Arial" w:cs="Arial"/>
        </w:rPr>
        <w:t>sięcy przed upływem terminu składania ofert:</w:t>
      </w:r>
    </w:p>
    <w:p w:rsidR="00544AD2" w:rsidRDefault="00544AD2" w:rsidP="00544AD2">
      <w:pPr>
        <w:spacing w:before="0" w:after="0"/>
        <w:ind w:left="567"/>
        <w:jc w:val="both"/>
        <w:rPr>
          <w:rFonts w:ascii="Arial" w:hAnsi="Arial" w:cs="Arial"/>
        </w:rPr>
      </w:pPr>
    </w:p>
    <w:p w:rsidR="00EB363F" w:rsidRPr="00EB363F" w:rsidRDefault="00544AD2" w:rsidP="00EB363F">
      <w:pPr>
        <w:spacing w:before="12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</w:t>
      </w:r>
      <w:r w:rsidRPr="0074089C">
        <w:rPr>
          <w:rFonts w:ascii="Arial" w:hAnsi="Arial" w:cs="Arial"/>
        </w:rPr>
        <w:t>organizowanych wyjazdów</w:t>
      </w:r>
      <w:r w:rsidR="00EB363F" w:rsidRPr="00EB363F">
        <w:rPr>
          <w:rFonts w:ascii="Arial" w:hAnsi="Arial" w:cs="Arial"/>
        </w:rPr>
        <w:t>:</w:t>
      </w:r>
      <w:r w:rsidR="00EB363F"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od 0 do 2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EB363F" w:rsidRPr="00EB363F">
        <w:rPr>
          <w:rFonts w:ascii="Arial" w:hAnsi="Arial" w:cs="Arial"/>
        </w:rPr>
        <w:t>0 pkt</w:t>
      </w:r>
    </w:p>
    <w:p w:rsidR="00EB363F" w:rsidRP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od 3 do 5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="00EB363F" w:rsidRPr="00EB363F">
        <w:rPr>
          <w:rFonts w:ascii="Arial" w:hAnsi="Arial" w:cs="Arial"/>
        </w:rPr>
        <w:t xml:space="preserve"> pkt</w:t>
      </w:r>
    </w:p>
    <w:p w:rsidR="00EB363F" w:rsidRDefault="00544AD2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74089C">
        <w:rPr>
          <w:rFonts w:ascii="Arial" w:hAnsi="Arial" w:cs="Arial"/>
        </w:rPr>
        <w:t>6 i więcej</w:t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 w:rsidR="00EB363F" w:rsidRPr="00EB363F"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EB363F" w:rsidRPr="00EB363F">
        <w:rPr>
          <w:rFonts w:ascii="Arial" w:hAnsi="Arial" w:cs="Arial"/>
        </w:rPr>
        <w:t xml:space="preserve"> pkt</w:t>
      </w:r>
    </w:p>
    <w:p w:rsidR="007E2B49" w:rsidRDefault="00921E36" w:rsidP="003652BF">
      <w:pPr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10</w:t>
      </w:r>
      <w:r w:rsidRPr="00134D57">
        <w:rPr>
          <w:rFonts w:ascii="Arial" w:hAnsi="Arial" w:cs="Arial"/>
        </w:rPr>
        <w:t xml:space="preserve"> pkt.</w:t>
      </w:r>
    </w:p>
    <w:p w:rsidR="003652BF" w:rsidRDefault="003652BF" w:rsidP="00EB363F">
      <w:pPr>
        <w:spacing w:before="120"/>
        <w:ind w:left="567"/>
        <w:jc w:val="both"/>
        <w:rPr>
          <w:rFonts w:ascii="Arial" w:hAnsi="Arial" w:cs="Arial"/>
          <w:b/>
          <w:bCs/>
        </w:rPr>
      </w:pPr>
    </w:p>
    <w:p w:rsidR="003652BF" w:rsidRDefault="00EB363F" w:rsidP="003652BF">
      <w:pPr>
        <w:spacing w:before="120" w:after="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lastRenderedPageBreak/>
        <w:t>UWAGA</w:t>
      </w:r>
      <w:r>
        <w:rPr>
          <w:rFonts w:ascii="Arial" w:hAnsi="Arial" w:cs="Arial"/>
          <w:bCs/>
        </w:rPr>
        <w:t>:</w:t>
      </w:r>
    </w:p>
    <w:p w:rsidR="00743741" w:rsidRDefault="00743741" w:rsidP="00743741">
      <w:pPr>
        <w:pStyle w:val="Akapitzlist"/>
        <w:spacing w:before="0" w:after="12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</w:t>
      </w:r>
      <w:r w:rsidRPr="00743741"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>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3652BF" w:rsidRPr="00F47A8C" w:rsidRDefault="00743741" w:rsidP="003652BF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743741" w:rsidP="003652BF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Ofertę najkorzystniejszą uznana zostanie oferta zawierająca najwyższą </w:t>
      </w:r>
      <w:r w:rsidR="003652BF">
        <w:rPr>
          <w:rFonts w:ascii="Arial" w:hAnsi="Arial" w:cs="Arial"/>
        </w:rPr>
        <w:t xml:space="preserve">łączną </w:t>
      </w:r>
      <w:r w:rsidRPr="00FB4F69">
        <w:rPr>
          <w:rFonts w:ascii="Arial" w:hAnsi="Arial" w:cs="Arial"/>
        </w:rPr>
        <w:t>liczbę punktów.</w:t>
      </w:r>
    </w:p>
    <w:p w:rsidR="003652BF" w:rsidRDefault="003652BF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15A17">
        <w:rPr>
          <w:rFonts w:ascii="Arial" w:hAnsi="Arial" w:cs="Arial"/>
        </w:rPr>
        <w:t>W toku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P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2A4A" w:rsidRDefault="00F92A4A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 w:rsidRPr="00DA1E53">
        <w:rPr>
          <w:rFonts w:ascii="Arial" w:hAnsi="Arial" w:cs="Arial"/>
          <w:sz w:val="20"/>
          <w:szCs w:val="20"/>
        </w:rPr>
        <w:t>umowy</w:t>
      </w:r>
      <w:r w:rsidR="00974A2A">
        <w:rPr>
          <w:rFonts w:ascii="Arial" w:hAnsi="Arial" w:cs="Arial"/>
          <w:sz w:val="20"/>
          <w:szCs w:val="20"/>
        </w:rPr>
        <w:t>,</w:t>
      </w:r>
    </w:p>
    <w:p w:rsidR="00974A2A" w:rsidRDefault="00974A2A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74A2A">
        <w:rPr>
          <w:rFonts w:ascii="Arial" w:hAnsi="Arial" w:cs="Arial"/>
          <w:sz w:val="20"/>
          <w:szCs w:val="20"/>
        </w:rPr>
        <w:t>Zestawienie referencji</w:t>
      </w:r>
      <w:r>
        <w:rPr>
          <w:rFonts w:ascii="Arial" w:hAnsi="Arial" w:cs="Arial"/>
          <w:sz w:val="20"/>
          <w:szCs w:val="20"/>
        </w:rPr>
        <w:t>.</w:t>
      </w:r>
    </w:p>
    <w:p w:rsidR="00974A2A" w:rsidRPr="00DA1E53" w:rsidRDefault="00974A2A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</w:p>
    <w:p w:rsidR="00E174B4" w:rsidRPr="00DA1E53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DA1E53">
        <w:rPr>
          <w:rFonts w:ascii="Arial" w:hAnsi="Arial" w:cs="Arial"/>
        </w:rPr>
        <w:t xml:space="preserve">Opole, dnia </w:t>
      </w:r>
      <w:r w:rsidR="004C01D3">
        <w:rPr>
          <w:rFonts w:ascii="Arial" w:hAnsi="Arial" w:cs="Arial"/>
        </w:rPr>
        <w:t>2</w:t>
      </w:r>
      <w:r w:rsidR="00743741" w:rsidRPr="00DA1E53">
        <w:rPr>
          <w:rFonts w:ascii="Arial" w:hAnsi="Arial" w:cs="Arial"/>
        </w:rPr>
        <w:t>1</w:t>
      </w:r>
      <w:r w:rsidRPr="00DA1E53">
        <w:rPr>
          <w:rFonts w:ascii="Arial" w:hAnsi="Arial" w:cs="Arial"/>
        </w:rPr>
        <w:t>.</w:t>
      </w:r>
      <w:r w:rsidR="004C01D3">
        <w:rPr>
          <w:rFonts w:ascii="Arial" w:hAnsi="Arial" w:cs="Arial"/>
        </w:rPr>
        <w:t>10</w:t>
      </w:r>
      <w:bookmarkStart w:id="0" w:name="_GoBack"/>
      <w:bookmarkEnd w:id="0"/>
      <w:r w:rsidRPr="00DA1E53">
        <w:rPr>
          <w:rFonts w:ascii="Arial" w:hAnsi="Arial" w:cs="Arial"/>
        </w:rPr>
        <w:t>.201</w:t>
      </w:r>
      <w:r w:rsidR="00006A26" w:rsidRPr="00DA1E53">
        <w:rPr>
          <w:rFonts w:ascii="Arial" w:hAnsi="Arial" w:cs="Arial"/>
        </w:rPr>
        <w:t>5</w:t>
      </w:r>
      <w:r w:rsidRPr="00DA1E53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E93E15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E93E15">
        <w:rPr>
          <w:rFonts w:ascii="Arial" w:hAnsi="Arial" w:cs="Arial"/>
          <w:b/>
          <w:bCs/>
        </w:rPr>
        <w:t>ZATWIERDZAM</w:t>
      </w:r>
    </w:p>
    <w:p w:rsidR="00AC0B0A" w:rsidRPr="00E93E15" w:rsidRDefault="003C5161" w:rsidP="00F92A4A">
      <w:pPr>
        <w:spacing w:before="12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E93E15">
        <w:rPr>
          <w:rFonts w:ascii="Arial" w:hAnsi="Arial" w:cs="Arial"/>
          <w:b/>
          <w:i/>
        </w:rPr>
        <w:t>D</w:t>
      </w:r>
      <w:r w:rsidR="00AC0B0A" w:rsidRPr="00E93E15">
        <w:rPr>
          <w:rFonts w:ascii="Arial" w:hAnsi="Arial" w:cs="Arial"/>
          <w:b/>
          <w:i/>
        </w:rPr>
        <w:t>yrektor</w:t>
      </w:r>
    </w:p>
    <w:p w:rsidR="00AC0B0A" w:rsidRPr="00E93E15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E93E15">
        <w:rPr>
          <w:rFonts w:ascii="Arial" w:hAnsi="Arial" w:cs="Arial"/>
          <w:b/>
          <w:i/>
        </w:rPr>
        <w:t xml:space="preserve">(-) mgr </w:t>
      </w:r>
      <w:r w:rsidR="003C5161" w:rsidRPr="00E93E15">
        <w:rPr>
          <w:rFonts w:ascii="Arial" w:hAnsi="Arial" w:cs="Arial"/>
          <w:b/>
          <w:i/>
        </w:rPr>
        <w:t>Lesław Tomczak</w:t>
      </w:r>
    </w:p>
    <w:p w:rsidR="00F6738A" w:rsidRPr="00E93E15" w:rsidRDefault="00F6738A" w:rsidP="00AC0B0A">
      <w:pPr>
        <w:spacing w:before="120"/>
        <w:rPr>
          <w:rFonts w:ascii="Arial" w:hAnsi="Arial" w:cs="Arial"/>
        </w:rPr>
      </w:pPr>
    </w:p>
    <w:sectPr w:rsidR="00F6738A" w:rsidRPr="00E93E15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2" w:rsidRDefault="00D02AB2" w:rsidP="002070AA">
      <w:pPr>
        <w:spacing w:before="0" w:after="0" w:line="240" w:lineRule="auto"/>
      </w:pPr>
      <w:r>
        <w:separator/>
      </w:r>
    </w:p>
  </w:endnote>
  <w:endnote w:type="continuationSeparator" w:id="0">
    <w:p w:rsidR="00D02AB2" w:rsidRDefault="00D02AB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4C01D3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2" w:rsidRDefault="00D02AB2" w:rsidP="002070AA">
      <w:pPr>
        <w:spacing w:before="0" w:after="0" w:line="240" w:lineRule="auto"/>
      </w:pPr>
      <w:r>
        <w:separator/>
      </w:r>
    </w:p>
  </w:footnote>
  <w:footnote w:type="continuationSeparator" w:id="0">
    <w:p w:rsidR="00D02AB2" w:rsidRDefault="00D02AB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112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21E7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7D2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2B4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2BF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5161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3F69A4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01D3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6679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4033"/>
    <w:rsid w:val="00544AD2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A7B56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C4B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27786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6F7DE9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17436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3741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6E55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97F79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1E36"/>
    <w:rsid w:val="00924305"/>
    <w:rsid w:val="00924614"/>
    <w:rsid w:val="00924885"/>
    <w:rsid w:val="00925B74"/>
    <w:rsid w:val="009270E6"/>
    <w:rsid w:val="00932A91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0DF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4A2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059E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A6A79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13E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E1C7C"/>
    <w:rsid w:val="00AE3A16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07964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3EE4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0B65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36F9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23E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86F57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2AB2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2755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1E53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E5699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5538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3E15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6DB9"/>
    <w:rsid w:val="00F77576"/>
    <w:rsid w:val="00F8041D"/>
    <w:rsid w:val="00F80AA2"/>
    <w:rsid w:val="00F85FBD"/>
    <w:rsid w:val="00F87753"/>
    <w:rsid w:val="00F87E66"/>
    <w:rsid w:val="00F909EB"/>
    <w:rsid w:val="00F90C49"/>
    <w:rsid w:val="00F913FC"/>
    <w:rsid w:val="00F92A4A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4855</Words>
  <Characters>29131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18</cp:revision>
  <cp:lastPrinted>2015-05-13T07:53:00Z</cp:lastPrinted>
  <dcterms:created xsi:type="dcterms:W3CDTF">2015-05-06T12:59:00Z</dcterms:created>
  <dcterms:modified xsi:type="dcterms:W3CDTF">2015-10-23T19:49:00Z</dcterms:modified>
</cp:coreProperties>
</file>