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0A5112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C0A79">
        <w:rPr>
          <w:rFonts w:ascii="Arial" w:hAnsi="Arial" w:cs="Arial"/>
          <w:b/>
          <w:bCs/>
          <w:sz w:val="24"/>
          <w:szCs w:val="24"/>
        </w:rPr>
        <w:t>Usług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bCs/>
          <w:sz w:val="24"/>
          <w:szCs w:val="24"/>
        </w:rPr>
        <w:t>organizacji wyjazdu monitorującego realizację praktyk uczniow</w:t>
      </w:r>
      <w:r>
        <w:rPr>
          <w:rFonts w:ascii="Arial" w:hAnsi="Arial" w:cs="Arial"/>
          <w:b/>
          <w:bCs/>
          <w:sz w:val="24"/>
          <w:szCs w:val="24"/>
        </w:rPr>
        <w:t xml:space="preserve">skich na </w:t>
      </w:r>
      <w:r w:rsidRPr="001E1947">
        <w:rPr>
          <w:rFonts w:ascii="Arial" w:hAnsi="Arial" w:cs="Arial"/>
          <w:b/>
          <w:bCs/>
          <w:sz w:val="24"/>
          <w:szCs w:val="24"/>
        </w:rPr>
        <w:t>ter</w:t>
      </w:r>
      <w:r w:rsidRPr="001E1947">
        <w:rPr>
          <w:rFonts w:ascii="Arial" w:hAnsi="Arial" w:cs="Arial"/>
          <w:b/>
          <w:bCs/>
          <w:sz w:val="24"/>
          <w:szCs w:val="24"/>
        </w:rPr>
        <w:t>e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rFonts w:ascii="Arial" w:hAnsi="Arial" w:cs="Arial"/>
          <w:b/>
          <w:bCs/>
          <w:sz w:val="24"/>
          <w:szCs w:val="24"/>
        </w:rPr>
        <w:t>Polski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</w:t>
      </w:r>
      <w:r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http://bip.rcre.opolskie.pl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>na tablicy ogłoszeń Regiona</w:t>
      </w:r>
      <w:r w:rsidRPr="00C70F99">
        <w:rPr>
          <w:rFonts w:ascii="Arial" w:hAnsi="Arial" w:cs="Arial"/>
        </w:rPr>
        <w:t>l</w:t>
      </w:r>
      <w:r w:rsidRPr="00C70F99">
        <w:rPr>
          <w:rFonts w:ascii="Arial" w:hAnsi="Arial" w:cs="Arial"/>
        </w:rPr>
        <w:t xml:space="preserve">nego Centrum Rozwoju Edukacji, 45-315 Opole ul. Głogowska 27 – </w:t>
      </w:r>
      <w:r w:rsidRPr="00C70F99">
        <w:rPr>
          <w:rFonts w:ascii="Arial" w:hAnsi="Arial" w:cs="Arial"/>
          <w:lang w:eastAsia="pl-PL"/>
        </w:rPr>
        <w:t xml:space="preserve">w dniu </w:t>
      </w:r>
      <w:r w:rsidR="00932A91">
        <w:rPr>
          <w:rFonts w:ascii="Arial" w:hAnsi="Arial" w:cs="Arial"/>
          <w:lang w:eastAsia="pl-PL"/>
        </w:rPr>
        <w:t>02.04.2015 r.</w:t>
      </w:r>
      <w:r w:rsidRPr="00C70F99">
        <w:rPr>
          <w:rFonts w:ascii="Arial" w:hAnsi="Arial" w:cs="Arial"/>
          <w:lang w:eastAsia="pl-PL"/>
        </w:rPr>
        <w:t xml:space="preserve">, a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3F69A4">
        <w:rPr>
          <w:rFonts w:ascii="Arial" w:hAnsi="Arial" w:cs="Arial"/>
        </w:rPr>
        <w:t>04.04.2015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0A5112" w:rsidP="0024680F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Pr="008E5255">
        <w:rPr>
          <w:rFonts w:ascii="Arial" w:hAnsi="Arial" w:cs="Arial"/>
        </w:rPr>
        <w:t xml:space="preserve">Usługa organizacji wyjazdu monitorującego realizację praktyk uczniowskich na terenie </w:t>
      </w:r>
      <w:r>
        <w:rPr>
          <w:rFonts w:ascii="Arial" w:hAnsi="Arial" w:cs="Arial"/>
        </w:rPr>
        <w:t>Polski</w:t>
      </w:r>
      <w:r w:rsidRPr="008E5255">
        <w:rPr>
          <w:rFonts w:ascii="Arial" w:hAnsi="Arial" w:cs="Arial"/>
        </w:rPr>
        <w:t xml:space="preserve"> w ramach projektu pod nazwą: „Opolskie szkolnictwo zawodowe bliżej rynku pracy”</w:t>
      </w:r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0A5112">
        <w:rPr>
          <w:rFonts w:ascii="Arial" w:hAnsi="Arial" w:cs="Arial"/>
          <w:b/>
        </w:rPr>
        <w:t>27. – 29.04.2015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>Postępowanie</w:t>
      </w:r>
      <w:r w:rsidRPr="00FB2C78">
        <w:rPr>
          <w:rFonts w:ascii="Arial" w:hAnsi="Arial" w:cs="Arial"/>
        </w:rPr>
        <w:t xml:space="preserve">, którego dotyczy niniejsza SIWZ, oznaczone jest znakiem: </w:t>
      </w:r>
      <w:r w:rsidR="004E6679" w:rsidRPr="004E6679">
        <w:rPr>
          <w:rFonts w:ascii="Arial" w:hAnsi="Arial" w:cs="Arial"/>
          <w:b/>
        </w:rPr>
        <w:t>31/ZP/RCRE/POKL9.2/2015</w:t>
      </w:r>
      <w:r w:rsidRPr="00FB2C78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0A5112" w:rsidRPr="0060195B" w:rsidRDefault="000A5112" w:rsidP="000A5112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Mieczysław Biel</w:t>
      </w:r>
      <w:r w:rsidRPr="0060195B">
        <w:rPr>
          <w:rFonts w:ascii="Arial" w:hAnsi="Arial" w:cs="Arial"/>
          <w:bCs/>
        </w:rPr>
        <w:tab/>
        <w:t>- Specjalista – koordynator ds. realizacji praktyk uczniowskich</w:t>
      </w:r>
    </w:p>
    <w:p w:rsidR="0060195B" w:rsidRPr="00BC20E5" w:rsidRDefault="000A5112" w:rsidP="000A5112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tel. </w:t>
      </w:r>
      <w:r w:rsidR="004E6679">
        <w:rPr>
          <w:rFonts w:ascii="Arial" w:hAnsi="Arial" w:cs="Arial"/>
          <w:bCs/>
        </w:rPr>
        <w:t>77 4047569,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  <w:r w:rsidR="004E6679">
        <w:rPr>
          <w:rFonts w:ascii="Arial" w:hAnsi="Arial" w:cs="Arial"/>
          <w:bCs/>
        </w:rPr>
        <w:t>,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0A5112">
        <w:rPr>
          <w:rFonts w:ascii="Arial" w:hAnsi="Arial" w:cs="Arial"/>
          <w:b/>
        </w:rPr>
        <w:t>9</w:t>
      </w:r>
      <w:r w:rsidR="0024680F" w:rsidRPr="0024680F">
        <w:rPr>
          <w:rFonts w:ascii="Arial" w:hAnsi="Arial" w:cs="Arial"/>
          <w:b/>
        </w:rPr>
        <w:t>0,00 zł</w:t>
      </w:r>
      <w:r w:rsidR="0024680F" w:rsidRPr="00E121BE">
        <w:rPr>
          <w:rFonts w:ascii="Arial" w:hAnsi="Arial" w:cs="Arial"/>
        </w:rPr>
        <w:t xml:space="preserve"> (słownie: </w:t>
      </w:r>
      <w:r w:rsidR="000A5112">
        <w:rPr>
          <w:rFonts w:ascii="Arial" w:hAnsi="Arial" w:cs="Arial"/>
        </w:rPr>
        <w:t>dziewięćdziesiąt</w:t>
      </w:r>
      <w:r w:rsidR="0024680F"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FB2C78">
        <w:rPr>
          <w:rFonts w:ascii="Arial" w:hAnsi="Arial" w:cs="Arial"/>
        </w:rPr>
        <w:t xml:space="preserve">z adnotacją: Wadium w postępowaniu nr </w:t>
      </w:r>
      <w:r w:rsidR="004E6679" w:rsidRPr="004E6679">
        <w:rPr>
          <w:rFonts w:ascii="Arial" w:hAnsi="Arial" w:cs="Arial"/>
        </w:rPr>
        <w:t>31/ZP/RCRE/POKL9.2/2015</w:t>
      </w:r>
      <w:r w:rsidR="0024680F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</w:t>
      </w:r>
      <w:r w:rsidR="005D5C4B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>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B07964">
      <w:pPr>
        <w:spacing w:before="120"/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B07964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</w:t>
      </w:r>
      <w:r w:rsidR="00B07964">
        <w:rPr>
          <w:rFonts w:ascii="Arial" w:hAnsi="Arial" w:cs="Arial"/>
        </w:rPr>
        <w:t xml:space="preserve">tekst jednolity </w:t>
      </w:r>
      <w:proofErr w:type="spellStart"/>
      <w:r w:rsidR="00B07964" w:rsidRPr="00B07964">
        <w:rPr>
          <w:rFonts w:ascii="Arial" w:hAnsi="Arial" w:cs="Arial"/>
        </w:rPr>
        <w:t>Dz.U</w:t>
      </w:r>
      <w:proofErr w:type="spellEnd"/>
      <w:r w:rsidR="00B07964" w:rsidRPr="00B07964">
        <w:rPr>
          <w:rFonts w:ascii="Arial" w:hAnsi="Arial" w:cs="Arial"/>
        </w:rPr>
        <w:t xml:space="preserve">. </w:t>
      </w:r>
      <w:r w:rsidR="00B07964">
        <w:rPr>
          <w:rFonts w:ascii="Arial" w:hAnsi="Arial" w:cs="Arial"/>
        </w:rPr>
        <w:t xml:space="preserve">z </w:t>
      </w:r>
      <w:r w:rsidR="00B07964" w:rsidRPr="00B07964">
        <w:rPr>
          <w:rFonts w:ascii="Arial" w:hAnsi="Arial" w:cs="Arial"/>
        </w:rPr>
        <w:t>2003</w:t>
      </w:r>
      <w:r w:rsidR="00B07964">
        <w:rPr>
          <w:rFonts w:ascii="Arial" w:hAnsi="Arial" w:cs="Arial"/>
        </w:rPr>
        <w:t xml:space="preserve"> r.</w:t>
      </w:r>
      <w:r w:rsidR="00B07964" w:rsidRPr="00B07964">
        <w:rPr>
          <w:rFonts w:ascii="Arial" w:hAnsi="Arial" w:cs="Arial"/>
        </w:rPr>
        <w:t xml:space="preserve"> </w:t>
      </w:r>
      <w:r w:rsidR="00B07964">
        <w:rPr>
          <w:rFonts w:ascii="Arial" w:hAnsi="Arial" w:cs="Arial"/>
        </w:rPr>
        <w:t>N</w:t>
      </w:r>
      <w:r w:rsidR="00B07964" w:rsidRPr="00B07964">
        <w:rPr>
          <w:rFonts w:ascii="Arial" w:hAnsi="Arial" w:cs="Arial"/>
        </w:rPr>
        <w:t>r 153</w:t>
      </w:r>
      <w:r w:rsidR="00B07964">
        <w:rPr>
          <w:rFonts w:ascii="Arial" w:hAnsi="Arial" w:cs="Arial"/>
        </w:rPr>
        <w:t>,</w:t>
      </w:r>
      <w:r w:rsidR="00B07964" w:rsidRPr="00B07964">
        <w:rPr>
          <w:rFonts w:ascii="Arial" w:hAnsi="Arial" w:cs="Arial"/>
        </w:rPr>
        <w:t xml:space="preserve"> poz. 1503</w:t>
      </w:r>
      <w:r w:rsidRPr="00FB4F69">
        <w:rPr>
          <w:rFonts w:ascii="Arial" w:hAnsi="Arial" w:cs="Arial"/>
        </w:rPr>
        <w:t xml:space="preserve">, ze </w:t>
      </w:r>
      <w:r w:rsidRPr="00FB4F69">
        <w:rPr>
          <w:rFonts w:ascii="Arial" w:hAnsi="Arial" w:cs="Arial"/>
        </w:rPr>
        <w:lastRenderedPageBreak/>
        <w:t xml:space="preserve">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24680F" w:rsidRPr="0024680F">
        <w:rPr>
          <w:rFonts w:ascii="Arial" w:hAnsi="Arial" w:cs="Arial"/>
          <w:b/>
          <w:u w:val="single"/>
        </w:rPr>
        <w:t xml:space="preserve">organizacji </w:t>
      </w:r>
      <w:r w:rsidR="00B07964" w:rsidRPr="00B07964">
        <w:rPr>
          <w:rFonts w:ascii="Arial" w:hAnsi="Arial" w:cs="Arial"/>
          <w:b/>
          <w:u w:val="single"/>
        </w:rPr>
        <w:t>wyjazdu monitorującego realizację praktyk uczniowskich na terenie Polski w ramach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B07964">
        <w:rPr>
          <w:rFonts w:ascii="Arial" w:hAnsi="Arial" w:cs="Arial"/>
          <w:b/>
          <w:bCs/>
          <w:u w:val="single"/>
        </w:rPr>
        <w:t>1</w:t>
      </w:r>
      <w:r w:rsidR="0024680F" w:rsidRPr="00C70F99">
        <w:rPr>
          <w:rFonts w:ascii="Arial" w:hAnsi="Arial" w:cs="Arial"/>
          <w:b/>
          <w:bCs/>
          <w:u w:val="single"/>
        </w:rPr>
        <w:t>3</w:t>
      </w:r>
      <w:r w:rsidRPr="00C70F99">
        <w:rPr>
          <w:rFonts w:ascii="Arial" w:hAnsi="Arial" w:cs="Arial"/>
          <w:b/>
          <w:bCs/>
          <w:u w:val="single"/>
        </w:rPr>
        <w:t>.0</w:t>
      </w:r>
      <w:r w:rsidR="00B07964">
        <w:rPr>
          <w:rFonts w:ascii="Arial" w:hAnsi="Arial" w:cs="Arial"/>
          <w:b/>
          <w:bCs/>
          <w:u w:val="single"/>
        </w:rPr>
        <w:t>4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07964">
        <w:rPr>
          <w:rFonts w:ascii="Arial" w:hAnsi="Arial" w:cs="Arial"/>
          <w:b/>
          <w:bCs/>
        </w:rPr>
        <w:t>1</w:t>
      </w:r>
      <w:r w:rsidR="0024680F" w:rsidRPr="00C70F99">
        <w:rPr>
          <w:rFonts w:ascii="Arial" w:hAnsi="Arial" w:cs="Arial"/>
          <w:b/>
          <w:bCs/>
        </w:rPr>
        <w:t>3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B07964">
        <w:rPr>
          <w:rFonts w:ascii="Arial" w:hAnsi="Arial" w:cs="Arial"/>
          <w:b/>
          <w:bCs/>
        </w:rPr>
        <w:t>4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07964">
        <w:rPr>
          <w:rFonts w:ascii="Arial" w:hAnsi="Arial" w:cs="Arial"/>
          <w:b/>
          <w:bCs/>
        </w:rPr>
        <w:t>1</w:t>
      </w:r>
      <w:r w:rsidR="0024680F" w:rsidRPr="00C70F99">
        <w:rPr>
          <w:rFonts w:ascii="Arial" w:hAnsi="Arial" w:cs="Arial"/>
          <w:b/>
          <w:bCs/>
        </w:rPr>
        <w:t>3</w:t>
      </w:r>
      <w:r w:rsidR="00B60B85" w:rsidRPr="00C70F99">
        <w:rPr>
          <w:rFonts w:ascii="Arial" w:hAnsi="Arial" w:cs="Arial"/>
          <w:b/>
          <w:bCs/>
        </w:rPr>
        <w:t>.0</w:t>
      </w:r>
      <w:r w:rsidR="00B07964">
        <w:rPr>
          <w:rFonts w:ascii="Arial" w:hAnsi="Arial" w:cs="Arial"/>
          <w:b/>
          <w:bCs/>
        </w:rPr>
        <w:t>4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B07964">
      <w:pPr>
        <w:numPr>
          <w:ilvl w:val="0"/>
          <w:numId w:val="47"/>
        </w:numPr>
        <w:tabs>
          <w:tab w:val="clear" w:pos="1080"/>
        </w:tabs>
        <w:spacing w:before="12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7E2B49" w:rsidRDefault="00EB363F" w:rsidP="00B07964">
      <w:pPr>
        <w:spacing w:before="12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lastRenderedPageBreak/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P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2A4A" w:rsidRDefault="00F92A4A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2A4A" w:rsidRDefault="00F92A4A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2A4A" w:rsidRDefault="00F92A4A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F92A4A">
        <w:rPr>
          <w:rFonts w:ascii="Arial" w:hAnsi="Arial" w:cs="Arial"/>
        </w:rPr>
        <w:t>01</w:t>
      </w:r>
      <w:r w:rsidRPr="00C17380">
        <w:rPr>
          <w:rFonts w:ascii="Arial" w:hAnsi="Arial" w:cs="Arial"/>
        </w:rPr>
        <w:t>.</w:t>
      </w:r>
      <w:r w:rsidR="00006A26" w:rsidRPr="00C17380">
        <w:rPr>
          <w:rFonts w:ascii="Arial" w:hAnsi="Arial" w:cs="Arial"/>
        </w:rPr>
        <w:t>0</w:t>
      </w:r>
      <w:r w:rsidR="00F92A4A">
        <w:rPr>
          <w:rFonts w:ascii="Arial" w:hAnsi="Arial" w:cs="Arial"/>
        </w:rPr>
        <w:t>4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932A9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932A91">
        <w:rPr>
          <w:rFonts w:ascii="Arial" w:hAnsi="Arial" w:cs="Arial"/>
          <w:b/>
          <w:bCs/>
        </w:rPr>
        <w:t>ZATWIERDZAM</w:t>
      </w:r>
    </w:p>
    <w:p w:rsidR="00AC0B0A" w:rsidRPr="00932A91" w:rsidRDefault="00F92A4A" w:rsidP="00F92A4A">
      <w:pPr>
        <w:spacing w:before="12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932A91">
        <w:rPr>
          <w:rFonts w:ascii="Arial" w:hAnsi="Arial" w:cs="Arial"/>
          <w:b/>
          <w:i/>
        </w:rPr>
        <w:t>Wiced</w:t>
      </w:r>
      <w:r w:rsidR="00AC0B0A" w:rsidRPr="00932A91">
        <w:rPr>
          <w:rFonts w:ascii="Arial" w:hAnsi="Arial" w:cs="Arial"/>
          <w:b/>
          <w:i/>
        </w:rPr>
        <w:t>yrektor</w:t>
      </w:r>
    </w:p>
    <w:p w:rsidR="00AC0B0A" w:rsidRPr="00932A9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932A91">
        <w:rPr>
          <w:rFonts w:ascii="Arial" w:hAnsi="Arial" w:cs="Arial"/>
          <w:b/>
          <w:i/>
        </w:rPr>
        <w:t xml:space="preserve">(-) mgr </w:t>
      </w:r>
      <w:r w:rsidR="00F92A4A" w:rsidRPr="00932A91">
        <w:rPr>
          <w:rFonts w:ascii="Arial" w:hAnsi="Arial" w:cs="Arial"/>
          <w:b/>
          <w:i/>
        </w:rPr>
        <w:t>Hanna Franczak</w:t>
      </w:r>
    </w:p>
    <w:p w:rsidR="00F6738A" w:rsidRPr="00932A91" w:rsidRDefault="00F6738A" w:rsidP="00AC0B0A">
      <w:pPr>
        <w:spacing w:before="120"/>
        <w:rPr>
          <w:rFonts w:ascii="Arial" w:hAnsi="Arial" w:cs="Arial"/>
        </w:rPr>
      </w:pPr>
    </w:p>
    <w:sectPr w:rsidR="00F6738A" w:rsidRPr="00932A9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16" w:rsidRDefault="00AE3A16" w:rsidP="002070AA">
      <w:pPr>
        <w:spacing w:before="0" w:after="0" w:line="240" w:lineRule="auto"/>
      </w:pPr>
      <w:r>
        <w:separator/>
      </w:r>
    </w:p>
  </w:endnote>
  <w:endnote w:type="continuationSeparator" w:id="0">
    <w:p w:rsidR="00AE3A16" w:rsidRDefault="00AE3A1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F69A4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16" w:rsidRDefault="00AE3A16" w:rsidP="002070AA">
      <w:pPr>
        <w:spacing w:before="0" w:after="0" w:line="240" w:lineRule="auto"/>
      </w:pPr>
      <w:r>
        <w:separator/>
      </w:r>
    </w:p>
  </w:footnote>
  <w:footnote w:type="continuationSeparator" w:id="0">
    <w:p w:rsidR="00AE3A16" w:rsidRDefault="00AE3A1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112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7D2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3F69A4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6679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A7B56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C4B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A91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E1C7C"/>
    <w:rsid w:val="00AE3A16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07964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36F9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5538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2A4A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4654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8</cp:revision>
  <cp:lastPrinted>2015-04-01T12:22:00Z</cp:lastPrinted>
  <dcterms:created xsi:type="dcterms:W3CDTF">2015-03-31T11:00:00Z</dcterms:created>
  <dcterms:modified xsi:type="dcterms:W3CDTF">2015-04-04T07:42:00Z</dcterms:modified>
</cp:coreProperties>
</file>