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964122" w:rsidRPr="0006136B" w:rsidRDefault="00964122" w:rsidP="00D55C12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>na: dostawę wyposażenia do pracowni eksperymentalnych na potrze</w:t>
      </w:r>
      <w:r w:rsidRPr="0006136B">
        <w:rPr>
          <w:rFonts w:ascii="Arial" w:hAnsi="Arial" w:cs="Arial"/>
          <w:sz w:val="24"/>
          <w:szCs w:val="24"/>
        </w:rPr>
        <w:t>by</w:t>
      </w:r>
      <w:r w:rsidRPr="0006136B">
        <w:rPr>
          <w:rFonts w:ascii="Arial" w:hAnsi="Arial" w:cs="Arial"/>
          <w:sz w:val="24"/>
          <w:szCs w:val="24"/>
        </w:rPr>
        <w:br/>
      </w: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projektu systemowego </w:t>
      </w:r>
      <w:r w:rsidRPr="0006136B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Tryb udzielania zamówienia :</w:t>
      </w:r>
      <w:r w:rsidRPr="002F0859">
        <w:rPr>
          <w:rFonts w:ascii="Arial" w:hAnsi="Arial" w:cs="Arial"/>
        </w:rPr>
        <w:t xml:space="preserve"> 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Miejsce i termin publikacji ogłoszenia o 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Głogowska 27  oraz na stronie internetowej </w:t>
      </w:r>
      <w:hyperlink r:id="rId7" w:history="1">
        <w:r w:rsidRPr="004F20F8">
          <w:rPr>
            <w:rStyle w:val="Hyperlink"/>
            <w:rFonts w:ascii="Arial" w:hAnsi="Arial" w:cs="Arial"/>
          </w:rPr>
          <w:t>http://bip.rcre.opolskie.pl</w:t>
        </w:r>
      </w:hyperlink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 xml:space="preserve">specyfikacją istotnych warunków zamówienia w dniu </w:t>
      </w:r>
      <w:r w:rsidRPr="0006136B">
        <w:rPr>
          <w:rFonts w:ascii="Arial" w:hAnsi="Arial" w:cs="Arial"/>
        </w:rPr>
        <w:t>14.06.2012 r.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4.1 Przedmiotem zamówienia jest dostawa wyposażenia do pracowni eksperymentalnych na potrzebę Projekt systemowy Edukacja ku przyszłości,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 Wyposażenie pracowni P1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Termometr bezdotykowy -50...+280 °C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Stół do badania rozkładu sił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Sprężyna "wędrująca"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Magnetyzm kuli ziemskiej – zestaw doświadczalny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Kamera mikroskopowa Plus na podstawie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Planetarium z niebem północnym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Słońce, Ziemia i Księżyc w ruchu inaczej zwany Tellurium – model III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Mikroskop szkolny „600x PLUS”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Obieg wody w przyrodzie – model-symulator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Seria Ciekawostki fizyczne: Iluzje optyczne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C040DA">
        <w:rPr>
          <w:rFonts w:ascii="Arial" w:hAnsi="Arial" w:cs="Arial"/>
          <w:color w:val="000000"/>
          <w:lang w:eastAsia="pl-PL"/>
        </w:rPr>
        <w:t xml:space="preserve">Zestaw magnesów (44)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C040DA">
        <w:rPr>
          <w:rFonts w:ascii="Arial" w:hAnsi="Arial" w:cs="Arial"/>
          <w:color w:val="000000"/>
          <w:lang w:eastAsia="pl-PL"/>
        </w:rPr>
        <w:t xml:space="preserve">Model szkieletu człowieka, wersja rozszerzona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1a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9E0B0E">
        <w:rPr>
          <w:rFonts w:ascii="Arial" w:hAnsi="Arial" w:cs="Arial"/>
          <w:b/>
          <w:bCs/>
          <w:u w:val="single"/>
        </w:rPr>
        <w:t>Część II</w:t>
      </w:r>
      <w:r w:rsidRPr="009E0B0E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 </w:t>
      </w:r>
      <w:r w:rsidRPr="009E0B0E">
        <w:rPr>
          <w:rFonts w:ascii="Arial" w:hAnsi="Arial" w:cs="Arial"/>
          <w:b/>
          <w:bCs/>
          <w:u w:val="single"/>
        </w:rPr>
        <w:t>Wyposażenie pracowni P2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Spektroskop pryzmatyczny metalowy.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Przyrząd do obserwacji obrazu rzeczywistego w zwierciadle wklęsłym.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Detektor UV.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Zestaw do badania zjawiska polaryzacji światła - polaryzatory liniowe.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Przyrząd do demonstracji linii pola magnetycznego.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Szkolny zestaw do wyznaczenia stężenia radonu w pomieszczeniach.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Lewitacja diamagnetyczna.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Lewitujące magnesy.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Półkule magdeburskie.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Sprężyna do demonstracji fali podłużnej.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Siatka dyfrakcyjna z 500 szczelinami/mm 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1b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9E0B0E">
        <w:rPr>
          <w:rFonts w:ascii="Arial" w:hAnsi="Arial" w:cs="Arial"/>
          <w:b/>
          <w:bCs/>
          <w:u w:val="single"/>
        </w:rPr>
        <w:t>Część III</w:t>
      </w:r>
      <w:r w:rsidRPr="009E0B0E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 </w:t>
      </w:r>
      <w:r w:rsidRPr="009E0B0E">
        <w:rPr>
          <w:rFonts w:ascii="Arial" w:hAnsi="Arial" w:cs="Arial"/>
          <w:b/>
          <w:bCs/>
          <w:u w:val="single"/>
        </w:rPr>
        <w:t>Wyposażenie pracowni P3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Sonometr trójprzewodowy- Trichord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Zestaw do optyki 1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Zestaw do optyki 2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Zestaw do optyki 3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Kamertony rezonujące z młoteczkiem - para LA3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1c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9E0B0E">
        <w:rPr>
          <w:rFonts w:ascii="Arial" w:hAnsi="Arial" w:cs="Arial"/>
          <w:b/>
          <w:bCs/>
          <w:u w:val="single"/>
        </w:rPr>
        <w:t>Część IV</w:t>
      </w:r>
      <w:r w:rsidRPr="009E0B0E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 </w:t>
      </w:r>
      <w:r w:rsidRPr="009E0B0E">
        <w:rPr>
          <w:rFonts w:ascii="Arial" w:hAnsi="Arial" w:cs="Arial"/>
          <w:b/>
          <w:bCs/>
          <w:u w:val="single"/>
        </w:rPr>
        <w:t>Wyposażenie pracowni P4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Rura rezonansowa – komplet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Komplet do doświadczeń z próżnią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Elektryczna pompa próżniowa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Baroskop z kulą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Generator van de Graffa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Wirownica mechaniczna ręczna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Wielobarwny krążek Newtona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Stroboskop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Maszyna elektrostatyczna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Cyfrowy miernik poziomu dźwięku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Rura Newtona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1d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V Wyposażenie pracowni P5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Maszyny słoneczne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Maszyny wiatrowe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Młyn wodny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Okulary mieszania barw 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Podstawa magnetyczna do eksperymentów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Gra Moire - eksperymenty optyczne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1e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VI Wyposażenie pracowni P6</w:t>
      </w:r>
    </w:p>
    <w:p w:rsidR="00964122" w:rsidRPr="00D55C12" w:rsidRDefault="00964122" w:rsidP="009E0B0E">
      <w:pPr>
        <w:spacing w:before="0" w:after="0" w:line="240" w:lineRule="auto"/>
        <w:rPr>
          <w:rFonts w:ascii="Arial" w:hAnsi="Arial" w:cs="Arial"/>
        </w:rPr>
      </w:pPr>
      <w:r w:rsidRPr="00D55C12">
        <w:rPr>
          <w:rFonts w:ascii="Arial" w:hAnsi="Arial" w:cs="Arial"/>
        </w:rPr>
        <w:t xml:space="preserve">Tor powietrzny z kompletem wyposażenia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Szczegółowy opis przedmiotu zamówienia zawiera załącznik nr 1f do SIWZ.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9E0B0E">
        <w:rPr>
          <w:rFonts w:ascii="Arial" w:hAnsi="Arial" w:cs="Arial"/>
          <w:b/>
          <w:bCs/>
          <w:u w:val="single"/>
        </w:rPr>
        <w:t>Część VII</w:t>
      </w:r>
      <w:r w:rsidRPr="009E0B0E">
        <w:rPr>
          <w:rFonts w:ascii="Arial" w:hAnsi="Arial" w:cs="Arial"/>
          <w:b/>
          <w:bCs/>
          <w:color w:val="000000"/>
          <w:u w:val="single"/>
          <w:lang w:eastAsia="pl-PL"/>
        </w:rPr>
        <w:t xml:space="preserve"> Zestawy </w:t>
      </w:r>
      <w:r w:rsidRPr="009E0B0E">
        <w:rPr>
          <w:rFonts w:ascii="Arial" w:hAnsi="Arial" w:cs="Arial"/>
          <w:b/>
          <w:bCs/>
          <w:u w:val="single"/>
        </w:rPr>
        <w:t>Wyposażenie pracowni P7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Optyka na tablicy magnetycznej - komplet bez tablicy i podręcznika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- Optyka na tablicy magnetycznej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Transformator regulowany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Tablica magnetyczna 600x1000mm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szkolnych, Optyka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lang w:eastAsia="pl-PL"/>
        </w:rPr>
        <w:t xml:space="preserve">TESS Optyka OE 1 Zestaw podstawowy do optyki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uzupełniający do optyki TESS Optyka OE 2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Zasilacz 0-12VDC/6V,12VAC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Optyka/Fizyka atomowa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Światło, powietrze, gleba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do zestawów Światło, powietrze, gleba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Woda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Doświadczenia dla nauczyciela, ucznia i demonstracyjne - Woda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TESS Elektrofizjologia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Pakiet elektrod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Zmysły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demonstracyjny Zmysły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„Doświadczenia uczniowskie i demonstracyjne „Zmysły”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TESS Elektryczność/Elektronika EET 1 i EET2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szkolnych, Elektryczność/Elektronika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Zasilacz 0-12VDC/6V,12VAC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Prąd i magnesy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do zestawów Prąd i magnesy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TESS Elektrostatyka (EST)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szkolnych, "Elektrostatyka"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TESS Magnetyzm (MAG)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szkolnych, "Magnetyzm"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Ruch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„Doświadczenia uczniowskie i demonstracyjne „Ruch”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TESS Fizyka Energia odnawialna EN1 z oprogramowaniem interTESS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 uzupełniający TESS Fizyka Energia odnawialna 2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Zasilacz 0-12VDC/6V,12VAC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Multimetr analogowy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uczniowski Ciepło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Doświadczenia dla nauczyciela, ucznia i demonstracyjne - Ciepło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Przekaźnik radiowy do interfejsu bezprzewodowy Cobra4 Wireless Manager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Interfejs bezprzewodowy Cobra4 Wireless-Link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Oprogramowanie do interfejsu Cobra4Measure (licencja poj. I szkolna)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Moduł pomiarowy  Siła interfejsu Cobra4, ± 40 N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Moduł pomiarów elektrycznych (napięcie, natężenie prądu)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Moduł pomiarowy Spirometria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Turbinka jednorazowa do spirometrii 12675-00, 50 szt.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Moduł pomiarowy Pogoda interfejsu Cobra4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podstawowy TESS Advanced Akustyka 1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uzupełniający TESS advanced Akustyka 2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Akustyka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Miernik natężenia dźwięku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podstawowy TESS Mechanika ME 1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uzupełniający TESS Mechanika ME 2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Zestaw uzupełniający TESS Mechanika – Dynamika ME 4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Tor magnetyczny - Zmiany energii przy zjazdach i podjazdach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 Mechanika 1-5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Podręcznik Fizyka w doświadczeniach szkolnych, Mechanika 6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  <w:color w:val="000000"/>
          <w:lang w:eastAsia="pl-PL"/>
        </w:rPr>
      </w:pPr>
      <w:r w:rsidRPr="0061610B">
        <w:rPr>
          <w:rFonts w:ascii="Arial" w:hAnsi="Arial" w:cs="Arial"/>
          <w:color w:val="000000"/>
          <w:lang w:eastAsia="pl-PL"/>
        </w:rPr>
        <w:t xml:space="preserve">Oprogramowanie interaktywne InterTESS - Fizyka </w:t>
      </w:r>
    </w:p>
    <w:p w:rsidR="00964122" w:rsidRPr="009E566C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 w:rsidRPr="0006136B">
        <w:rPr>
          <w:rFonts w:ascii="Arial" w:hAnsi="Arial" w:cs="Arial"/>
        </w:rPr>
        <w:t>załącznik nr 1g</w:t>
      </w:r>
      <w:r w:rsidRPr="009E566C">
        <w:rPr>
          <w:rFonts w:ascii="Arial" w:hAnsi="Arial" w:cs="Arial"/>
        </w:rPr>
        <w:t xml:space="preserve"> do SIWZ.</w:t>
      </w:r>
    </w:p>
    <w:p w:rsidR="00964122" w:rsidRPr="009E566C" w:rsidRDefault="00964122" w:rsidP="009E0B0E">
      <w:pPr>
        <w:pStyle w:val="Header"/>
        <w:rPr>
          <w:rFonts w:ascii="Arial" w:hAnsi="Arial" w:cs="Arial"/>
        </w:rPr>
      </w:pPr>
      <w:r w:rsidRPr="009E566C">
        <w:rPr>
          <w:rFonts w:ascii="Arial" w:hAnsi="Arial" w:cs="Arial"/>
        </w:rPr>
        <w:t>4.2. Dostawa realizowana jest na potrzeby Projekt systemowy „Edukacja ku przyszłości”, nrPOKL.09.01.02-16-075/11, współfinansowanego ze środków Unii Europejskiej w ramach Europejskiego Funduszu Społecznego w ramach Programu Operacyjnego Kapitał Ludzki, Priorytet IX. Rozwój wykształcenia i kompetencji w regionach.</w:t>
      </w:r>
    </w:p>
    <w:p w:rsidR="00964122" w:rsidRPr="009E566C" w:rsidRDefault="00964122" w:rsidP="009E0B0E">
      <w:pPr>
        <w:tabs>
          <w:tab w:val="left" w:pos="795"/>
        </w:tabs>
        <w:suppressAutoHyphens/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4.3</w:t>
      </w:r>
      <w:r w:rsidRPr="009E566C">
        <w:rPr>
          <w:rFonts w:ascii="Arial" w:hAnsi="Arial" w:cs="Arial"/>
          <w:lang w:eastAsia="ar-SA"/>
        </w:rPr>
        <w:t xml:space="preserve"> </w:t>
      </w:r>
      <w:r w:rsidRPr="009E566C">
        <w:rPr>
          <w:rFonts w:ascii="Arial" w:hAnsi="Arial" w:cs="Arial"/>
        </w:rPr>
        <w:t>Wymagania dotyczące przedmiotu zamówienia: wszystkie rzeczy stanowiące przedmiot zamówienia muszą być fabrycznie nowe.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4.4 Na Wykonawcy spoczywa obowiązek udowodnienia, iż zaoferowane przedmioty są równoważne w stosunku do przedmiotów określonych przez Zamawiającego. Nazwę producenta i oznaczenie produktu oferowanego w </w:t>
      </w:r>
      <w:r w:rsidRPr="002778BD">
        <w:rPr>
          <w:rFonts w:ascii="Arial" w:hAnsi="Arial" w:cs="Arial"/>
          <w:b/>
          <w:bCs/>
        </w:rPr>
        <w:t xml:space="preserve">wykazie rzeczowo –cenowym załącznik nr 1 a-g do SIWZ w kolumnie 3 </w:t>
      </w:r>
      <w:r w:rsidRPr="002778BD">
        <w:rPr>
          <w:rFonts w:ascii="Arial" w:hAnsi="Arial" w:cs="Arial"/>
        </w:rPr>
        <w:t>„Proponowany asortyment nazwa produktu, producent, dokładny opis, nr katalogowy” wypełniają wszyscy Wykonawcy bez względu na to czy oferują równoważny przedmiot zamówienia czy też nie.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Przedstawione wyroby, w których zostały użyte znaki towarowe Zamawiający dopuszcza możliwość zastąpienia przedmiotami równoważnymi pod warunkiem, iż przedmioty te będą posiadały takie same lub lepsze parametry jakościowe, funkcjonalne lub użytkowe. </w:t>
      </w:r>
      <w:r w:rsidRPr="002778BD">
        <w:rPr>
          <w:rFonts w:ascii="Arial" w:hAnsi="Arial" w:cs="Arial"/>
          <w:b/>
          <w:bCs/>
        </w:rPr>
        <w:t xml:space="preserve">Zgodnie z art. 30 ust. 5 Wykonawca, który powołuje się na rozwiązania równoważne opisywanym przez zamawiającego, jest obowiązany wykazać, że oferowane przez niego dostawy spełniają wymagania określone przez zamawiającego. </w:t>
      </w:r>
    </w:p>
    <w:p w:rsidR="00964122" w:rsidRPr="002778BD" w:rsidRDefault="00964122" w:rsidP="009E0B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78BD">
        <w:rPr>
          <w:rFonts w:ascii="Arial" w:hAnsi="Arial" w:cs="Arial"/>
          <w:b/>
          <w:bCs/>
          <w:color w:val="auto"/>
          <w:sz w:val="22"/>
          <w:szCs w:val="22"/>
        </w:rPr>
        <w:t xml:space="preserve">UWAGA! 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  <w:r w:rsidRPr="002778BD">
        <w:rPr>
          <w:rFonts w:ascii="Arial" w:hAnsi="Arial" w:cs="Arial"/>
          <w:b/>
          <w:bCs/>
        </w:rPr>
        <w:t xml:space="preserve">W związku z tym Wykonawca powołujący się na rozwiązania równoważne jest zobowiązany dostarczyć do oferty prezentacje multimedialne </w:t>
      </w:r>
      <w:r w:rsidRPr="002778BD">
        <w:rPr>
          <w:rFonts w:ascii="Arial" w:hAnsi="Arial" w:cs="Arial"/>
          <w:b/>
          <w:bCs/>
          <w:lang w:eastAsia="pl-PL"/>
        </w:rPr>
        <w:t>uzasadniającą równoważność produktu (film, animacja, prezentacja)</w:t>
      </w:r>
      <w:r w:rsidRPr="002778BD">
        <w:rPr>
          <w:rFonts w:ascii="Arial" w:hAnsi="Arial" w:cs="Arial"/>
          <w:b/>
          <w:bCs/>
        </w:rPr>
        <w:t xml:space="preserve"> dla każdego oferowanego produktu równoważnego.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>Zamawiający wymaga, aby oferowany przedmiot zamówienia odpowiadał wymaganiom opisanym w SIWZ, w celu potwierdzenia, że oferowany przedmiot zamówienia odpowiada wymaganiom określonym przez Zamawiającego w SIWZ w ofercie należy złożyć: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>- kalkulacja cenowa, sporządzona w oparciu o wykaz rzeczowo-cenowy stanowiący załącznik nr 1 a-g do SIWZ do każdej części na którą składana jest oferta UWAGA: Brak którejkolwiek pozycji w wykazie rzeczowo-cenowym, spowoduje odrzucenie oferty. Należy podać nazwę producenta i oznaczenie produktu oferowanego w wykazie rzeczowo -cenowym w kolumnie 3</w:t>
      </w:r>
      <w:r w:rsidRPr="002778BD">
        <w:rPr>
          <w:rFonts w:ascii="Arial" w:hAnsi="Arial" w:cs="Arial"/>
          <w:b/>
          <w:bCs/>
        </w:rPr>
        <w:t xml:space="preserve"> </w:t>
      </w:r>
      <w:r w:rsidRPr="002778BD">
        <w:rPr>
          <w:rFonts w:ascii="Arial" w:hAnsi="Arial" w:cs="Arial"/>
        </w:rPr>
        <w:t>„Proponowany asortyment nazwa produktu, producent, dokładny opis, nr katalogowy” wypełniają wszyscy Wykonawcy bez względu na to czy oferują równoważny przedmiot zamówienia czy też nie.</w:t>
      </w:r>
    </w:p>
    <w:p w:rsidR="00964122" w:rsidRPr="009E566C" w:rsidRDefault="00964122" w:rsidP="009E0B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78BD">
        <w:rPr>
          <w:rFonts w:ascii="Arial" w:hAnsi="Arial" w:cs="Arial"/>
          <w:sz w:val="22"/>
          <w:szCs w:val="22"/>
        </w:rPr>
        <w:t xml:space="preserve">- prospekty, firmowe materiały informacyjnych oraz  </w:t>
      </w:r>
      <w:r w:rsidRPr="002778BD">
        <w:rPr>
          <w:rFonts w:ascii="Arial" w:hAnsi="Arial" w:cs="Arial"/>
          <w:b/>
          <w:bCs/>
          <w:sz w:val="22"/>
          <w:szCs w:val="22"/>
        </w:rPr>
        <w:t xml:space="preserve">prezentacje multimedialne uzasadniająca równoważność produktu (film, animacja, prezentacja) </w:t>
      </w:r>
      <w:r w:rsidRPr="002778BD">
        <w:rPr>
          <w:rFonts w:ascii="Arial" w:hAnsi="Arial" w:cs="Arial"/>
          <w:sz w:val="22"/>
          <w:szCs w:val="22"/>
        </w:rPr>
        <w:t>Składają wykonawcy którzy oferują produkty równoważne, obowiązkowo wszystkie materiały mają być oznaczone, której pozycji wykazu rzeczowo – cenowego dotyczą i której części dotyczą.</w:t>
      </w:r>
    </w:p>
    <w:p w:rsidR="00964122" w:rsidRPr="002778BD" w:rsidRDefault="00964122" w:rsidP="009E0B0E">
      <w:pPr>
        <w:pStyle w:val="Footer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778BD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5</w:t>
      </w:r>
      <w:r w:rsidRPr="002778BD">
        <w:rPr>
          <w:rFonts w:ascii="Arial" w:hAnsi="Arial" w:cs="Arial"/>
          <w:b/>
          <w:bCs/>
        </w:rPr>
        <w:t xml:space="preserve"> Nazwa i kod Wspólnego Słownika Zamówień (CPV):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39162100-6 </w:t>
      </w:r>
      <w:hyperlink r:id="rId8" w:history="1">
        <w:r w:rsidRPr="002778BD">
          <w:rPr>
            <w:rStyle w:val="Hyperlink"/>
            <w:rFonts w:ascii="Arial" w:hAnsi="Arial" w:cs="Arial"/>
            <w:color w:val="auto"/>
          </w:rPr>
          <w:t>Pomoce dydaktyczne</w:t>
        </w:r>
      </w:hyperlink>
      <w:r w:rsidRPr="002778BD">
        <w:rPr>
          <w:rFonts w:ascii="Arial" w:hAnsi="Arial" w:cs="Arial"/>
        </w:rPr>
        <w:t xml:space="preserve"> 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39162110-9 </w:t>
      </w:r>
      <w:hyperlink r:id="rId9" w:history="1">
        <w:r w:rsidRPr="002778BD">
          <w:rPr>
            <w:rStyle w:val="Hyperlink"/>
            <w:rFonts w:ascii="Arial" w:hAnsi="Arial" w:cs="Arial"/>
            <w:color w:val="auto"/>
          </w:rPr>
          <w:t>Sprzęt dydaktyczny</w:t>
        </w:r>
      </w:hyperlink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39162000-5 </w:t>
      </w:r>
      <w:hyperlink r:id="rId10" w:history="1">
        <w:r w:rsidRPr="002778BD">
          <w:rPr>
            <w:rStyle w:val="Hyperlink"/>
            <w:rFonts w:ascii="Arial" w:hAnsi="Arial" w:cs="Arial"/>
            <w:color w:val="auto"/>
          </w:rPr>
          <w:t>Pomoce naukowe</w:t>
        </w:r>
      </w:hyperlink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38540000-2 </w:t>
      </w:r>
      <w:hyperlink r:id="rId11" w:history="1">
        <w:r w:rsidRPr="002778BD">
          <w:rPr>
            <w:rStyle w:val="Hyperlink"/>
            <w:rFonts w:ascii="Arial" w:hAnsi="Arial" w:cs="Arial"/>
            <w:color w:val="auto"/>
          </w:rPr>
          <w:t>Maszyny i aparatura badawcza i pomiarowa</w:t>
        </w:r>
      </w:hyperlink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38296000-6 </w:t>
      </w:r>
      <w:hyperlink r:id="rId12" w:history="1">
        <w:r w:rsidRPr="002778BD">
          <w:rPr>
            <w:rStyle w:val="Hyperlink"/>
            <w:rFonts w:ascii="Arial" w:hAnsi="Arial" w:cs="Arial"/>
            <w:color w:val="auto"/>
          </w:rPr>
          <w:t>Przyrządy badawcze</w:t>
        </w:r>
      </w:hyperlink>
      <w:r w:rsidRPr="002778BD">
        <w:rPr>
          <w:rFonts w:ascii="Arial" w:hAnsi="Arial" w:cs="Arial"/>
        </w:rPr>
        <w:t xml:space="preserve"> </w:t>
      </w: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38300000-8 </w:t>
      </w:r>
      <w:hyperlink r:id="rId13" w:history="1">
        <w:r w:rsidRPr="002778BD">
          <w:rPr>
            <w:rStyle w:val="Hyperlink"/>
            <w:rFonts w:ascii="Arial" w:hAnsi="Arial" w:cs="Arial"/>
            <w:color w:val="auto"/>
          </w:rPr>
          <w:t>Przyrządy do pomiaru</w:t>
        </w:r>
      </w:hyperlink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48190000-6 </w:t>
      </w:r>
      <w:hyperlink r:id="rId14" w:history="1">
        <w:r w:rsidRPr="002778BD">
          <w:rPr>
            <w:rStyle w:val="Hyperlink"/>
            <w:rFonts w:ascii="Arial" w:hAnsi="Arial" w:cs="Arial"/>
            <w:color w:val="auto"/>
          </w:rPr>
          <w:t>Pakiety oprogramowania edukacyjnego</w:t>
        </w:r>
      </w:hyperlink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94FB5">
        <w:rPr>
          <w:rFonts w:ascii="Arial" w:hAnsi="Arial" w:cs="Arial"/>
        </w:rPr>
        <w:t>4.</w:t>
      </w:r>
      <w:r>
        <w:rPr>
          <w:rFonts w:ascii="Arial" w:hAnsi="Arial" w:cs="Arial"/>
        </w:rPr>
        <w:t>6</w:t>
      </w:r>
      <w:r w:rsidRPr="00994FB5">
        <w:rPr>
          <w:rFonts w:ascii="Arial" w:hAnsi="Arial" w:cs="Arial"/>
        </w:rPr>
        <w:t xml:space="preserve"> Dopuszcza się złożenie ofert częściowych na jedną, na kilka części lub na wszystkie części.</w:t>
      </w:r>
    </w:p>
    <w:p w:rsidR="00964122" w:rsidRPr="00994FB5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Nie d</w:t>
      </w:r>
      <w:r w:rsidRPr="002F0859">
        <w:rPr>
          <w:rFonts w:ascii="Arial" w:hAnsi="Arial" w:cs="Arial"/>
          <w:b/>
          <w:bCs/>
          <w:u w:val="single"/>
        </w:rPr>
        <w:t>opuszcza się składania ofert 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Termin wykonania zamówienia :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474819">
      <w:pPr>
        <w:pStyle w:val="BodyText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Pr="00930552">
        <w:rPr>
          <w:rFonts w:ascii="Arial" w:hAnsi="Arial" w:cs="Arial"/>
          <w:b/>
          <w:bCs/>
          <w:sz w:val="22"/>
          <w:szCs w:val="22"/>
        </w:rPr>
        <w:t>4 tygodnie od dnia podpisania umowy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spełniania tych warunków.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warunki,  o których mowa w art. 22 ust. 1 ustawy Prawo zamówień publicznych. 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9.1 Wykonawca  w celu potwierdzenia posiadania wiedzy i doświadczenia musi wykazać, że: należycie wykonał, z zastrzeżeniem art. 26 ust. 2 b ustawy Prawo zamówień publicznych,  w okresie ostatnich trzech lat przed upływem terminu składania ofert, a jeżeli okres prowadzenia działalności jest krótszy – w tym okresie, </w:t>
      </w:r>
      <w:r w:rsidRPr="00024701">
        <w:rPr>
          <w:rFonts w:ascii="Arial" w:hAnsi="Arial" w:cs="Arial"/>
        </w:rPr>
        <w:t xml:space="preserve">minimum 2 dostawy </w:t>
      </w:r>
      <w:r w:rsidRPr="00024701">
        <w:rPr>
          <w:rFonts w:ascii="Tahoma" w:hAnsi="Tahoma" w:cs="Tahoma"/>
        </w:rPr>
        <w:t>wyposażenia podobnego rodzaju jak przedmiot zamówienia.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       Ocena spełnienia warunku dokonana zostanie na podstawie:</w:t>
      </w:r>
    </w:p>
    <w:p w:rsidR="00964122" w:rsidRPr="002669A5" w:rsidRDefault="00964122" w:rsidP="00994FB5">
      <w:pPr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Wykazu dostaw minimum 2 </w:t>
      </w:r>
      <w:r w:rsidRPr="00024701">
        <w:rPr>
          <w:rFonts w:ascii="Arial" w:hAnsi="Arial" w:cs="Arial"/>
        </w:rPr>
        <w:t xml:space="preserve"> dostawy </w:t>
      </w:r>
      <w:r w:rsidRPr="00024701">
        <w:rPr>
          <w:rFonts w:ascii="Tahoma" w:hAnsi="Tahoma" w:cs="Tahoma"/>
        </w:rPr>
        <w:t xml:space="preserve">wyposażenia podobnego rodzaju jak przedmiot zamówienia </w:t>
      </w:r>
      <w:r w:rsidRPr="00024701">
        <w:rPr>
          <w:rFonts w:ascii="Arial" w:hAnsi="Arial" w:cs="Arial"/>
        </w:rPr>
        <w:t>wykonany</w:t>
      </w:r>
      <w:r w:rsidRPr="002669A5">
        <w:rPr>
          <w:rFonts w:ascii="Arial" w:hAnsi="Arial" w:cs="Arial"/>
        </w:rPr>
        <w:t>ch w okresie ostatnich trzech lat przed upływem terminu składania ofert, a jeżeli okres prowadzenia działalności jest krótszy – z tego okresu, przygotowane wg wzoru</w:t>
      </w:r>
      <w:r w:rsidRPr="002669A5">
        <w:rPr>
          <w:rFonts w:ascii="Arial" w:hAnsi="Arial" w:cs="Arial"/>
          <w:b/>
          <w:bCs/>
        </w:rPr>
        <w:t xml:space="preserve"> - załącznika nr 2</w:t>
      </w:r>
      <w:r w:rsidRPr="002669A5">
        <w:rPr>
          <w:rFonts w:ascii="Arial" w:hAnsi="Arial" w:cs="Arial"/>
        </w:rPr>
        <w:t xml:space="preserve"> do SIWZ,  </w:t>
      </w:r>
    </w:p>
    <w:p w:rsidR="00964122" w:rsidRPr="00DB751C" w:rsidRDefault="00964122" w:rsidP="00994FB5">
      <w:pPr>
        <w:numPr>
          <w:ilvl w:val="0"/>
          <w:numId w:val="22"/>
        </w:numPr>
        <w:spacing w:before="0" w:after="0" w:line="240" w:lineRule="auto"/>
        <w:ind w:left="851" w:hanging="425"/>
        <w:jc w:val="both"/>
        <w:rPr>
          <w:rFonts w:ascii="Arial" w:hAnsi="Arial" w:cs="Arial"/>
        </w:rPr>
      </w:pPr>
      <w:r w:rsidRPr="002669A5">
        <w:rPr>
          <w:rFonts w:ascii="Arial" w:hAnsi="Arial" w:cs="Arial"/>
        </w:rPr>
        <w:t>dokumentów potwierdzających, że dostawy wskazane w wykazie zostały wykonane należycie (np.: referencje, protokoły odbioru).</w:t>
      </w: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9.2 W celu wykazania braku podstaw do wykluczenia z postępowania o udzielenie zamówienia wykonawcy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oświadczenia o braku podstaw do wykluczenia, o których mowa w art. 24 ust 1 ustawy Prawo zamówień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potwierdzenia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ust.1  ustawy Prawo zamówień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Pr="00F90C49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Oświadczenie o braku podstaw do wykluczenia, o których mowa w art. 24 ust 1 ustawy Prawo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9F4BBE">
        <w:rPr>
          <w:rFonts w:ascii="Arial" w:hAnsi="Arial" w:cs="Arial"/>
        </w:rPr>
        <w:t xml:space="preserve">Wykaz </w:t>
      </w:r>
      <w:r w:rsidRPr="00F64610">
        <w:rPr>
          <w:rFonts w:ascii="Arial" w:hAnsi="Arial" w:cs="Arial"/>
        </w:rPr>
        <w:t xml:space="preserve">minimum </w:t>
      </w:r>
      <w:r w:rsidRPr="004D2B5D">
        <w:rPr>
          <w:rFonts w:ascii="Arial" w:hAnsi="Arial" w:cs="Arial"/>
        </w:rPr>
        <w:t xml:space="preserve">dwóch dostaw </w:t>
      </w:r>
      <w:r w:rsidRPr="004D2B5D">
        <w:rPr>
          <w:rFonts w:ascii="Tahoma" w:hAnsi="Tahoma" w:cs="Tahoma"/>
        </w:rPr>
        <w:t>wyposażenia podobnego rodzaju jak przedmiot zamówienia</w:t>
      </w:r>
      <w:r>
        <w:rPr>
          <w:rFonts w:ascii="Tahoma" w:hAnsi="Tahoma" w:cs="Tahoma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  <w:bCs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9F4BBE">
        <w:rPr>
          <w:rFonts w:ascii="Arial" w:hAnsi="Arial" w:cs="Arial"/>
        </w:rPr>
        <w:t xml:space="preserve">Dokumenty potwierdzające, że </w:t>
      </w:r>
      <w:r>
        <w:rPr>
          <w:rFonts w:ascii="Arial" w:hAnsi="Arial" w:cs="Arial"/>
        </w:rPr>
        <w:t xml:space="preserve">dostawy </w:t>
      </w:r>
      <w:r w:rsidRPr="009F4BBE">
        <w:rPr>
          <w:rFonts w:ascii="Arial" w:hAnsi="Arial" w:cs="Arial"/>
        </w:rPr>
        <w:t>wskazane w w</w:t>
      </w:r>
      <w:r>
        <w:rPr>
          <w:rFonts w:ascii="Arial" w:hAnsi="Arial" w:cs="Arial"/>
        </w:rPr>
        <w:t>ykazie, o którym mowa w pkt 10.4</w:t>
      </w:r>
      <w:r w:rsidRPr="009F4BBE">
        <w:rPr>
          <w:rFonts w:ascii="Arial" w:hAnsi="Arial" w:cs="Arial"/>
        </w:rPr>
        <w:t xml:space="preserve"> zostały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przedkłada pisemne zobowiązanie tych podmiotów do oddania do dyspozycji wykonawcy zasobów określonych w art. 26 ust. 2b ustawy Prawo zamówień publicznych, umożliwiających wykonanie zamówienia,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wykonawca  udowodni</w:t>
      </w:r>
      <w:r w:rsidRPr="00DE09A8">
        <w:rPr>
          <w:rFonts w:ascii="Arial" w:hAnsi="Arial" w:cs="Arial"/>
        </w:rPr>
        <w:t xml:space="preserve"> w inny sposób iż będzie dysponował zasobami niezbędnymi do realizacji zamówienia np. przedłoży zawarte umowy czy oświadczenia,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Heading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 xml:space="preserve">Dokumenty, o których mowa wyżej, mogą być przedstawione w formie oryginału lub kserokopii poświadczonych za zgodność z oryginałem przez upoważnionego(ych) przedstawiciela(i) wykonawcy. W przypadku wykonawców wspólnie ubiegających się o udzielenie zamówienia(pkt 11 SIWZ) oraz w przypadku, gdy wykonawca  polega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>
        <w:rPr>
          <w:rFonts w:ascii="Arial" w:hAnsi="Arial" w:cs="Arial"/>
          <w:sz w:val="22"/>
          <w:szCs w:val="22"/>
        </w:rPr>
        <w:t>5</w:t>
      </w:r>
      <w:r w:rsidRPr="00783661"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 xml:space="preserve">kopie dokumentów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pełnomocnictw, albo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enia w wyznaczonym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 xml:space="preserve">Nie uzupełnienie brakujących oświadczeń i dokumentów w wyznaczonym terminie, a tym samym nie wykazanie spełnienia warunków udziału w postępowaniu skutkować będzie wykluczeniem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11.2 Wykonawcy występujący jako konsorcjum muszą ustanowić pełnomocnika (wyznaczyć lidera) do reprezentowania ich w postępowaniu o udzielenie niniejszego zamówienia albo do reprezentowania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11.3 Jeżeli oferta wykonawców ubiegających się wspólnie o udzielenie zamówienia publicznego zostanie wybrana, zamawiający przed zawarciem umowy w sprawie zamówienia  publicznego, zażąda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11.4 W odniesieniu do wymagań postawionych przez zamawiającego, każdy z wykonawców wchodzący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podstawie art. 24 ust. 1 pkt 1-9 ustawy Prawo zamówień publicznych (należy złożyć oddzielnie: oświadczenie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(liderem).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na   wykonawcę,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przekazywania oświadczeń i dokumentów.</w:t>
      </w:r>
    </w:p>
    <w:p w:rsidR="00964122" w:rsidRPr="002F0859" w:rsidRDefault="00964122" w:rsidP="00994FB5">
      <w:pPr>
        <w:pStyle w:val="BodyText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r w:rsidRPr="0006136B">
        <w:rPr>
          <w:rFonts w:ascii="Arial" w:hAnsi="Arial" w:cs="Arial"/>
          <w:b/>
          <w:bCs/>
        </w:rPr>
        <w:t xml:space="preserve">mail: </w:t>
      </w:r>
      <w:hyperlink r:id="rId15" w:history="1">
        <w:r w:rsidRPr="0006136B">
          <w:rPr>
            <w:rStyle w:val="Hyperlink"/>
            <w:rFonts w:ascii="Arial" w:hAnsi="Arial" w:cs="Arial"/>
            <w:b/>
            <w:bCs/>
          </w:rPr>
          <w:t>mhejduk@rcre.opolskie.pl</w:t>
        </w:r>
      </w:hyperlink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12.3 Zamawiający jednocześnie przekaże treść wyjaśnienia wszystkim wykonawcom, którym doręczono SIWZ, bez ujawniania źródła zapytania oraz zamieści  na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Publicznych.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niezbędny będzie dodatkowy czas na wprowadzenie zmian w ofertach, zamawiający również w tym przypadku, przedłuży termin składania ofert i  poinformuje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mgr inż. Małgorzata Hejduk</w:t>
      </w:r>
      <w:r w:rsidRPr="002F0859">
        <w:rPr>
          <w:rFonts w:ascii="Arial" w:hAnsi="Arial" w:cs="Arial"/>
        </w:rPr>
        <w:tab/>
        <w:t xml:space="preserve"> -     specjalista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tel. kom. 792 550 873 pon.– pt.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BodyText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 w:rsidRPr="002F0859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2F0859">
        <w:rPr>
          <w:rFonts w:ascii="Arial" w:hAnsi="Arial" w:cs="Arial"/>
          <w:sz w:val="22"/>
          <w:szCs w:val="22"/>
        </w:rPr>
        <w:t xml:space="preserve">dni od upływu terminu składania ofert, tj. do </w:t>
      </w:r>
      <w:r w:rsidRPr="00E51F76">
        <w:rPr>
          <w:rFonts w:ascii="Arial" w:hAnsi="Arial" w:cs="Arial"/>
          <w:sz w:val="22"/>
          <w:szCs w:val="22"/>
        </w:rPr>
        <w:t>dnia</w:t>
      </w:r>
      <w:r w:rsidRPr="00E51F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62DF">
        <w:rPr>
          <w:rFonts w:ascii="Arial" w:hAnsi="Arial" w:cs="Arial"/>
          <w:b/>
          <w:bCs/>
          <w:sz w:val="22"/>
          <w:szCs w:val="22"/>
        </w:rPr>
        <w:t>21.07.2012r.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Zamówienia.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</w:rPr>
      </w:pPr>
      <w:r w:rsidRPr="00C262DF">
        <w:rPr>
          <w:rFonts w:ascii="Arial" w:hAnsi="Arial" w:cs="Arial"/>
        </w:rPr>
        <w:t xml:space="preserve">wypełniony formularz ofertowy według </w:t>
      </w:r>
      <w:r w:rsidRPr="00C262DF">
        <w:rPr>
          <w:rFonts w:ascii="Arial" w:hAnsi="Arial" w:cs="Arial"/>
          <w:b/>
          <w:bCs/>
        </w:rPr>
        <w:t>załącznika nr 5</w:t>
      </w:r>
      <w:r w:rsidRPr="00C262DF">
        <w:rPr>
          <w:rFonts w:ascii="Arial" w:hAnsi="Arial" w:cs="Arial"/>
        </w:rPr>
        <w:t xml:space="preserve"> do SIWZ,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r w:rsidRPr="00C262DF">
        <w:rPr>
          <w:rFonts w:ascii="Arial" w:hAnsi="Arial" w:cs="Arial"/>
        </w:rPr>
        <w:t xml:space="preserve">kalkulacja cenowa, sporządzona w oparciu o wykaz rzeczowo-cenowy stanowiący </w:t>
      </w:r>
      <w:r w:rsidRPr="00C262DF">
        <w:rPr>
          <w:rFonts w:ascii="Arial" w:hAnsi="Arial" w:cs="Arial"/>
          <w:b/>
          <w:bCs/>
        </w:rPr>
        <w:t>załącznik nr 1 a-g</w:t>
      </w:r>
      <w:r w:rsidRPr="00C262DF">
        <w:rPr>
          <w:rFonts w:ascii="Arial" w:hAnsi="Arial" w:cs="Arial"/>
        </w:rPr>
        <w:t xml:space="preserve"> do SIWZ (w zależności na którą część składana jest oferta)</w:t>
      </w:r>
    </w:p>
    <w:p w:rsidR="00964122" w:rsidRPr="00C262DF" w:rsidRDefault="00964122" w:rsidP="00994FB5">
      <w:pPr>
        <w:spacing w:before="0" w:after="0" w:line="240" w:lineRule="auto"/>
        <w:ind w:left="993"/>
        <w:rPr>
          <w:rFonts w:ascii="Arial" w:hAnsi="Arial" w:cs="Arial"/>
        </w:rPr>
      </w:pPr>
      <w:r w:rsidRPr="00C262DF">
        <w:rPr>
          <w:rFonts w:ascii="Arial" w:hAnsi="Arial" w:cs="Arial"/>
        </w:rPr>
        <w:t>UWAGA:</w:t>
      </w:r>
      <w:r w:rsidRPr="00C262DF">
        <w:rPr>
          <w:rFonts w:ascii="Arial" w:hAnsi="Arial" w:cs="Arial"/>
          <w:b/>
          <w:bCs/>
        </w:rPr>
        <w:t xml:space="preserve"> Brak którejkolwiek pozycji w wykazie rzeczowo-cenowym, spowoduje odrzucenie oferty</w:t>
      </w:r>
      <w:r w:rsidRPr="00C262DF">
        <w:rPr>
          <w:rFonts w:ascii="Arial" w:hAnsi="Arial" w:cs="Arial"/>
        </w:rPr>
        <w:t xml:space="preserve"> 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i/>
          <w:iCs/>
        </w:rPr>
      </w:pPr>
      <w:r w:rsidRPr="00C262DF">
        <w:rPr>
          <w:rFonts w:ascii="Arial" w:hAnsi="Arial" w:cs="Arial"/>
        </w:rPr>
        <w:t xml:space="preserve">dokumenty i oświadczenia, o których mowa w </w:t>
      </w:r>
      <w:r w:rsidRPr="00C262DF">
        <w:rPr>
          <w:rFonts w:ascii="Arial" w:hAnsi="Arial" w:cs="Arial"/>
          <w:b/>
          <w:bCs/>
        </w:rPr>
        <w:t>pkt 10 </w:t>
      </w:r>
      <w:r w:rsidRPr="00C262DF">
        <w:rPr>
          <w:rFonts w:ascii="Arial" w:hAnsi="Arial" w:cs="Arial"/>
        </w:rPr>
        <w:t>SIWZ</w:t>
      </w:r>
      <w:r w:rsidRPr="00C262DF">
        <w:rPr>
          <w:rFonts w:ascii="Arial" w:hAnsi="Arial" w:cs="Arial"/>
          <w:i/>
          <w:iCs/>
        </w:rPr>
        <w:t xml:space="preserve"> </w:t>
      </w:r>
    </w:p>
    <w:p w:rsidR="00964122" w:rsidRPr="00C262DF" w:rsidRDefault="00964122" w:rsidP="00994FB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262DF">
        <w:rPr>
          <w:rFonts w:ascii="Arial" w:hAnsi="Arial" w:cs="Arial"/>
          <w:sz w:val="22"/>
          <w:szCs w:val="22"/>
        </w:rPr>
        <w:t xml:space="preserve">prospekty, firmowe materiały informacyjnych oraz  </w:t>
      </w:r>
      <w:r w:rsidRPr="00C262DF">
        <w:rPr>
          <w:rFonts w:ascii="Arial" w:hAnsi="Arial" w:cs="Arial"/>
          <w:b/>
          <w:bCs/>
          <w:sz w:val="22"/>
          <w:szCs w:val="22"/>
        </w:rPr>
        <w:t xml:space="preserve">prezentacje multimedialne uzasadniająca równoważność produktu (film, animacja, prezentacja ) </w:t>
      </w:r>
      <w:r w:rsidRPr="00C262DF">
        <w:rPr>
          <w:rFonts w:ascii="Arial" w:hAnsi="Arial" w:cs="Arial"/>
          <w:sz w:val="22"/>
          <w:szCs w:val="22"/>
        </w:rPr>
        <w:t>Składają wykonawcy którzy oferują produkty równoważne, obowiązkowo wszystkie materiały mają być oznaczone, której pozycji wykazu rzeczowo – cenowego dotyczą i której części dotyczą.</w:t>
      </w:r>
    </w:p>
    <w:p w:rsidR="00964122" w:rsidRPr="00C262DF" w:rsidRDefault="00964122" w:rsidP="00994FB5">
      <w:pPr>
        <w:spacing w:before="0" w:after="0" w:line="240" w:lineRule="auto"/>
        <w:ind w:left="567"/>
        <w:rPr>
          <w:rFonts w:ascii="Arial" w:hAnsi="Arial" w:cs="Arial"/>
          <w:i/>
          <w:iCs/>
        </w:rPr>
      </w:pPr>
      <w:r w:rsidRPr="00C262DF">
        <w:rPr>
          <w:rFonts w:ascii="Arial" w:hAnsi="Arial" w:cs="Arial"/>
          <w:i/>
          <w:iCs/>
        </w:rPr>
        <w:t>ewentualnie: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r w:rsidRPr="00C262DF">
        <w:rPr>
          <w:rFonts w:ascii="Arial" w:hAnsi="Arial" w:cs="Arial"/>
        </w:rPr>
        <w:t>pełnomocnictwo (w sytuacji, gdy ofertę podpisuje osoba, której prawo do reprezentowania wykonawcy nie wynika z dokumentu rejestrowego).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osob(ę)y upoważnion(ą)e do reprezentowania firmy na zewnątrz i zaciągania zobowiązań minimum w wysokości odpowiadającej cenie oferty. Podpis osoby uprawnionej musi być naniesiony w sposób umożliwiający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własnoręcznie przez osob(ę)y podpisując(ą)e ofertę. Parafka (podpis) musi być naniesiona w sposób umożliwiający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egzemplarzu.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wariantowych,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Wykonawcy ponoszą wszelkie koszty związane z przygotowaniem i złożeniem oferty,  z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czerwca  1993 r., poz. 211, z późn. zm.) </w:t>
      </w:r>
      <w:r w:rsidRPr="002F085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 których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zamówienia, okresu gwarancji i warunków płatności zawartych w ofercie (por. art. 86 ust. 4 ustawy Prawo zamówień publicznych).</w:t>
      </w:r>
    </w:p>
    <w:p w:rsidR="00964122" w:rsidRDefault="00964122" w:rsidP="00994FB5">
      <w:pPr>
        <w:pStyle w:val="BodyText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BodyText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C262DF" w:rsidRDefault="00964122" w:rsidP="00C262DF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262DF">
        <w:rPr>
          <w:rFonts w:ascii="Arial" w:hAnsi="Arial" w:cs="Arial"/>
          <w:b/>
          <w:bCs/>
          <w:i/>
          <w:iCs/>
          <w:u w:val="single"/>
        </w:rPr>
        <w:t xml:space="preserve">„Oferta na </w:t>
      </w:r>
      <w:r w:rsidRPr="00C262D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dostawę wyposażenia do pracowni eksperymentalnych na potrzebę</w:t>
      </w:r>
      <w:r w:rsidRPr="00C262DF">
        <w:rPr>
          <w:rFonts w:ascii="Arial" w:hAnsi="Arial" w:cs="Arial"/>
          <w:sz w:val="24"/>
          <w:szCs w:val="24"/>
          <w:u w:val="single"/>
        </w:rPr>
        <w:t xml:space="preserve"> </w:t>
      </w:r>
      <w:r w:rsidRPr="00C262D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Projektu systemowego Edukacja ku przyszłości </w:t>
      </w:r>
      <w:r w:rsidRPr="00C262DF">
        <w:rPr>
          <w:rFonts w:ascii="Arial" w:hAnsi="Arial" w:cs="Arial"/>
          <w:b/>
          <w:bCs/>
          <w:i/>
          <w:iCs/>
          <w:u w:val="single"/>
        </w:rPr>
        <w:t>”Część nr ………..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7E48BF">
        <w:rPr>
          <w:rFonts w:ascii="Arial" w:hAnsi="Arial" w:cs="Arial"/>
          <w:b/>
          <w:bCs/>
          <w:i/>
          <w:iCs/>
        </w:rPr>
        <w:t xml:space="preserve"> </w:t>
      </w:r>
      <w:r w:rsidRPr="00CC21FB">
        <w:rPr>
          <w:rFonts w:ascii="Arial" w:hAnsi="Arial" w:cs="Arial"/>
          <w:b/>
          <w:bCs/>
        </w:rPr>
        <w:t xml:space="preserve">Nie otwierać przed godz. </w:t>
      </w:r>
      <w:r w:rsidRPr="00C262DF">
        <w:rPr>
          <w:rFonts w:ascii="Arial" w:hAnsi="Arial" w:cs="Arial"/>
          <w:b/>
          <w:bCs/>
        </w:rPr>
        <w:t>15:00 dnia 22.06.2012r.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Konsekwencje złożenia oferty niezgodnie z w/w opisem (np. potraktowanie oferty jako zwykłej korespondencji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Heading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Głogowska 27,  sekretariat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D2752B">
        <w:rPr>
          <w:rFonts w:ascii="Arial" w:hAnsi="Arial" w:cs="Arial"/>
          <w:b/>
          <w:bCs/>
        </w:rPr>
        <w:t xml:space="preserve">do dnia  </w:t>
      </w:r>
      <w:r w:rsidRPr="00784C37">
        <w:rPr>
          <w:rFonts w:ascii="Arial" w:hAnsi="Arial" w:cs="Arial"/>
          <w:b/>
          <w:bCs/>
        </w:rPr>
        <w:t>22.06.2012r. do godziny 14:30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16.2.  W przypadku dostarczenia oferty pocztą lub pocztą kurierską, zamawiający przyjmie za termin  złożenia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16.3. Możliwość przedłużenia terminu składania ofert dopuszcza się jedynie w sytuacjach określonych   w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wykonawcy,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badane.</w:t>
      </w:r>
    </w:p>
    <w:p w:rsidR="00964122" w:rsidRPr="00994FB5" w:rsidRDefault="00964122" w:rsidP="00994FB5">
      <w:pPr>
        <w:pStyle w:val="Heading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niezwłocznie zwrócone.</w:t>
      </w:r>
    </w:p>
    <w:p w:rsidR="00964122" w:rsidRPr="00784C37" w:rsidRDefault="00964122" w:rsidP="00474819">
      <w:pPr>
        <w:pStyle w:val="Heading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Pr="00784C37">
        <w:rPr>
          <w:rFonts w:ascii="Arial" w:hAnsi="Arial" w:cs="Arial"/>
          <w:b/>
          <w:bCs/>
        </w:rPr>
        <w:t>22.06.2012r.  o godzinie 15:00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imię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cenę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termin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warunki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którzy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DC6135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19.1. Każdy z wykonawców może zaproponować tylko jedną cenę i nie może jej zmienić. Nie prowadzi się negocjacji w sprawie ceny. </w:t>
      </w:r>
    </w:p>
    <w:p w:rsidR="00964122" w:rsidRPr="00DC6135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DC6135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 itp.).</w:t>
      </w:r>
    </w:p>
    <w:p w:rsidR="00964122" w:rsidRPr="00DC6135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Wykonawca jest zobowiązany dokonać obliczenia ceny ofertowej w oparciu o wykaz rzeczowo-cenowy, stanowiący </w:t>
      </w:r>
      <w:r w:rsidRPr="00173896">
        <w:rPr>
          <w:rFonts w:ascii="Arial" w:hAnsi="Arial" w:cs="Arial"/>
          <w:b/>
          <w:bCs/>
        </w:rPr>
        <w:t>załącznik nr 1 a-g</w:t>
      </w:r>
      <w:r w:rsidRPr="00DC6135">
        <w:rPr>
          <w:rFonts w:ascii="Arial" w:hAnsi="Arial" w:cs="Arial"/>
        </w:rPr>
        <w:t xml:space="preserve"> do SIWZ (w zależności od części na którą składana jest oferta). Wszystkie pozycje wykazu muszą być wypełnione pod rygorem odrzucenia oferty. W formularzu ofertowym (</w:t>
      </w:r>
      <w:r w:rsidRPr="00DC6135">
        <w:rPr>
          <w:rFonts w:ascii="Arial" w:hAnsi="Arial" w:cs="Arial"/>
          <w:b/>
          <w:bCs/>
        </w:rPr>
        <w:t>załącznik nr 5</w:t>
      </w:r>
      <w:r w:rsidRPr="00DC6135">
        <w:rPr>
          <w:rFonts w:ascii="Arial" w:hAnsi="Arial" w:cs="Arial"/>
        </w:rPr>
        <w:t xml:space="preserve"> do SIWZ) należy podać cenę brutto, wynikającą z wykazu rzeczowo-cenowego.</w:t>
      </w:r>
    </w:p>
    <w:p w:rsidR="00964122" w:rsidRPr="00DC6135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powinna być wyrażona w PLN z dokładnością do 1 grosza.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Cena oferty powinna zawierać wszystkie koszty związane z realizacją zamówienia. 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nie będzie mogła ulec zwiększeniu przez cały okres trwania umowy.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Ceny jednostkowe brutto podane przez wykonawcę będą obowiązywały przez cały okres trwania umowy i nie będą podlegały zmianom</w:t>
      </w:r>
    </w:p>
    <w:p w:rsidR="00964122" w:rsidRPr="00173896" w:rsidRDefault="00964122" w:rsidP="00474819">
      <w:pPr>
        <w:pStyle w:val="Heading1"/>
        <w:tabs>
          <w:tab w:val="left" w:pos="4395"/>
        </w:tabs>
        <w:spacing w:after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20.1 Oferty spełniające formalne wymagania określone w niniejszej specyfikacji, złożone przez Wykonawców nie podlegających wykluczeniu, będą oceniane wg poniższych kryteriów i wag: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Kryterium: Waga: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Cena 80%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Jakość 20%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W kryterium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punkty dla ofert przyznane zostaną według wzoru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Cena najniższej oferty x 100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----------------------------------- x 0,8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Cena oferty badanej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W kryterium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jakość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punkty dla poszczególnych ofert przyznane zostaną wg. następującej skali: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I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1a do SIWZ (100% zostanie przeliczone według sumy ilości pozycji z załącznika nr 1a tj.: 12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1a do SIWZ (80% zostanie przeliczone według sumy ilości pozycji z załącznika nr 1a tj.: za minimum 9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9 pozycji zgodnych ze wskazanymi przez zamawiającego produktami zostanie przyznane 0 pkt)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II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1b do SIWZ (100% zostanie przeliczone według sumy ilości pozycji z załącznika nr 1b tj.: 11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1b do SIWZ (80% zostanie przeliczone według sumy ilości pozycji z załącznika nr 1b tj.: za minimum 8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8 pozycji zgodnych ze wskazanymi przez zamawiającego produktami zostanie przyznane 0 pkt)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III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1c do SIWZ (100% zostanie przeliczone według sumy ilości pozycji z załącznika nr 1c tj.: 5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1c do SIWZ (80% zostanie przeliczone według sumy ilości pozycji z załącznika nr 1c tj.: za minimum 4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4 pozycji zgodnych ze wskazanymi przez zamawiającego produktami zostanie przyznane 0 pkt)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IV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1d do SIWZ (100% zostanie przeliczone według sumy ilości pozycji z załącznika nr 1d tj.: 11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1d do SIWZ (80% zostanie przeliczone według sumy ilości pozycji z załącznika nr 1d tj.: za minimum 8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8 pozycji zgodnych ze wskazanymi przez zamawiającego produktami zostanie przyznane 0 pkt)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V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1e do SIWZ (100% zostanie przeliczone według sumy ilości pozycji z załącznika nr 1e tj.: 6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1e do SIWZ (80% zostanie przeliczone według sumy ilości pozycji z załącznika nr 1e tj.: za minimum 4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4 pozycji zgodnych ze wskazanymi przez zamawiającego produktami zostanie przyznane 0 pkt) 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VI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1f do SIWZ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>– za brak zgodności</w:t>
      </w:r>
    </w:p>
    <w:p w:rsidR="00964122" w:rsidRPr="00541316" w:rsidRDefault="00964122" w:rsidP="0054131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41316">
        <w:rPr>
          <w:rFonts w:ascii="Arial" w:hAnsi="Arial" w:cs="Arial"/>
          <w:b/>
          <w:bCs/>
          <w:color w:val="auto"/>
          <w:sz w:val="22"/>
          <w:szCs w:val="22"/>
          <w:u w:val="single"/>
        </w:rPr>
        <w:t>Dla części VII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20 punktów </w:t>
      </w:r>
      <w:r w:rsidRPr="00173896">
        <w:rPr>
          <w:rFonts w:ascii="Arial" w:hAnsi="Arial" w:cs="Arial"/>
        </w:rPr>
        <w:t xml:space="preserve">– za pełną (100%) zgodność oferty z produktami wskazanymi przez zamawiającego w załączniku nr 1g do SIWZ (100% zostanie przeliczone według sumy ilości pozycji z załącznika nr 1g tj.: 54 pozycje zgodne ze wskazanymi przez zamawiającego produktami zostanie przyznane 20 pkt) </w:t>
      </w:r>
    </w:p>
    <w:p w:rsidR="00964122" w:rsidRPr="0017389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 xml:space="preserve">- </w:t>
      </w:r>
      <w:r w:rsidRPr="00173896">
        <w:rPr>
          <w:rFonts w:ascii="Arial" w:hAnsi="Arial" w:cs="Arial"/>
          <w:b/>
          <w:bCs/>
        </w:rPr>
        <w:t xml:space="preserve">10 punktów </w:t>
      </w:r>
      <w:r w:rsidRPr="00173896">
        <w:rPr>
          <w:rFonts w:ascii="Arial" w:hAnsi="Arial" w:cs="Arial"/>
        </w:rPr>
        <w:t xml:space="preserve">– za minimum 80% zgodność oferty z produktami wskazanymi przez zamawiającego w załączniku nr 1g do SIWZ (80% zostanie przeliczone według sumy ilości pozycji z załącznika nr 1g tj.: za minimum 43 pozycje zgodne ze wskazanymi przez zamawiającego produktami zostanie przyznane 10 pkt) </w:t>
      </w:r>
    </w:p>
    <w:p w:rsidR="00964122" w:rsidRPr="00173896" w:rsidRDefault="00964122" w:rsidP="005413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3896">
        <w:rPr>
          <w:rFonts w:ascii="Arial" w:hAnsi="Arial" w:cs="Arial"/>
          <w:color w:val="auto"/>
          <w:sz w:val="22"/>
          <w:szCs w:val="22"/>
        </w:rPr>
        <w:t xml:space="preserve">- </w:t>
      </w:r>
      <w:r w:rsidRPr="00173896">
        <w:rPr>
          <w:rFonts w:ascii="Arial" w:hAnsi="Arial" w:cs="Arial"/>
          <w:b/>
          <w:bCs/>
          <w:color w:val="auto"/>
          <w:sz w:val="22"/>
          <w:szCs w:val="22"/>
        </w:rPr>
        <w:t xml:space="preserve">0 punktów </w:t>
      </w:r>
      <w:r w:rsidRPr="00173896">
        <w:rPr>
          <w:rFonts w:ascii="Arial" w:hAnsi="Arial" w:cs="Arial"/>
          <w:color w:val="auto"/>
          <w:sz w:val="22"/>
          <w:szCs w:val="22"/>
        </w:rPr>
        <w:t xml:space="preserve">– poniżej 80% pułapu zgodności (poniżej 43 pozycji zgodnych ze wskazanymi przez zamawiającego produktami zostanie przyznane 0 pkt) </w:t>
      </w:r>
    </w:p>
    <w:p w:rsidR="00964122" w:rsidRPr="00541316" w:rsidRDefault="00964122" w:rsidP="00541316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173896">
        <w:rPr>
          <w:rFonts w:ascii="Arial" w:hAnsi="Arial" w:cs="Arial"/>
        </w:rPr>
        <w:t>20.2. Oferta, która uzyska najwyższą liczbę punktów (suma punktów obliczonych zgodnie z pkt 1) zostanie uznana za najkorzystniejszą. Wyliczenie punktów zostanie dokonane z dokładnością do dwóch miejsc po przecinku, zgodnie z zasadą zaokrąglania od 5 w górę.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od  </w:t>
      </w:r>
      <w:r w:rsidRPr="002F0859">
        <w:rPr>
          <w:rFonts w:ascii="Arial" w:hAnsi="Arial" w:cs="Arial"/>
          <w:spacing w:val="-1"/>
        </w:rPr>
        <w:t xml:space="preserve">zawarcia umowy, zamawiający wybierze najkorzystniejszą ofertę (z najniższą ceną) </w:t>
      </w:r>
      <w:r w:rsidRPr="002F0859">
        <w:rPr>
          <w:rFonts w:ascii="Arial" w:hAnsi="Arial" w:cs="Arial"/>
        </w:rPr>
        <w:t xml:space="preserve">spośród pozostałych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zamówień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964122" w:rsidRPr="00173896" w:rsidRDefault="00964122" w:rsidP="00474819">
      <w:pPr>
        <w:pStyle w:val="Heading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173896" w:rsidRDefault="00964122" w:rsidP="00474819">
      <w:pPr>
        <w:pStyle w:val="Heading2"/>
        <w:spacing w:after="1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postępowania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przysługują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b)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c)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d)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bezpiecznym podpisem elektronicznym weryfikowanym za pomocą ważnego kwalifikowanego certyfikatu.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zamawiającego o niezgodnej z przepisami ustawy czynności podjętej przez niego lub zaniechaniu czynności, do której jest on zobowiązany na podstawie ustawy Prawo zamówień publicznych,,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23.8 Odwołanie wnosi się w terminie 5 dni od dnia przesłanie informacji o czynności zamawiającego stanowiącej podstawę jego wniesienia – jeżeli zostały przesłane w sposób określony w art. 27 ust.2 ustawy Prawo zamówień publicznych, albo w terminie 10 dni – jeżeli zostały przesłane w inny sposób.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23.9 Odwołanie wobec treści ogłoszenia o zamówieniu, 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23.10 Odwołanie wobec czynności innych niż określone w pkt 23.8 i 23.9 wnosi się w terminie 5 dni od dnia, w którym powzięto lub przy zachowaniu należytej staranności można było powziąć wiadomość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wyborze oferty najkorzystniejszej  odwołanie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- 15 dni od dnia zamieszczenia w Biuletynie Zamówień Publicznych ogłoszenia o udzieleniu zamówienia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Publicznych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Zamówień Publicznych w terminie i na zasadach określonych w art.198 a -198 g  ustawy Prawo zamówień publicznych.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>Dz. U. z 2010 r. Nr 113, poz. 759. z późn. zm.)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a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b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c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d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IV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e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V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f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VI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g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VII</w:t>
      </w:r>
    </w:p>
    <w:p w:rsidR="00964122" w:rsidRPr="002F0859" w:rsidRDefault="00964122" w:rsidP="00173896">
      <w:pPr>
        <w:pStyle w:val="BodyText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>
        <w:rPr>
          <w:rFonts w:ascii="Arial" w:hAnsi="Arial" w:cs="Arial"/>
          <w:sz w:val="20"/>
          <w:szCs w:val="20"/>
        </w:rPr>
        <w:t>dostaw</w:t>
      </w:r>
    </w:p>
    <w:p w:rsidR="00964122" w:rsidRPr="002F0859" w:rsidRDefault="00964122" w:rsidP="00173896">
      <w:pPr>
        <w:pStyle w:val="BodyText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publicznych,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F90C4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Opole, dnia </w:t>
      </w:r>
      <w:r w:rsidRPr="00173896">
        <w:rPr>
          <w:rFonts w:ascii="Arial" w:hAnsi="Arial" w:cs="Arial"/>
        </w:rPr>
        <w:t>14.06.2012 r.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p w:rsidR="00964122" w:rsidRDefault="00964122" w:rsidP="00474819">
      <w:pPr>
        <w:spacing w:after="120"/>
      </w:pPr>
    </w:p>
    <w:sectPr w:rsidR="00964122" w:rsidSect="00A815F5">
      <w:footerReference w:type="default" r:id="rId16"/>
      <w:headerReference w:type="first" r:id="rId17"/>
      <w:footerReference w:type="first" r:id="rId18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22" w:rsidRDefault="00964122" w:rsidP="002070AA">
      <w:pPr>
        <w:spacing w:before="0" w:after="0" w:line="240" w:lineRule="auto"/>
      </w:pPr>
      <w:r>
        <w:separator/>
      </w:r>
    </w:p>
  </w:endnote>
  <w:endnote w:type="continuationSeparator" w:id="0">
    <w:p w:rsidR="00964122" w:rsidRDefault="0096412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2325"/>
      <w:gridCol w:w="2555"/>
      <w:gridCol w:w="2095"/>
      <w:gridCol w:w="2325"/>
    </w:tblGrid>
    <w:tr w:rsidR="00964122" w:rsidRPr="00CD63B1">
      <w:trPr>
        <w:trHeight w:val="1020"/>
        <w:jc w:val="center"/>
      </w:trPr>
      <w:tc>
        <w:tcPr>
          <w:tcW w:w="2325" w:type="dxa"/>
          <w:vAlign w:val="center"/>
        </w:tcPr>
        <w:p w:rsidR="00964122" w:rsidRPr="00CD63B1" w:rsidRDefault="00964122" w:rsidP="00EC6373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33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964122" w:rsidRPr="00CD63B1" w:rsidRDefault="00964122" w:rsidP="00EC6373">
          <w:pPr>
            <w:pStyle w:val="Header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34" type="#_x0000_t75" alt="Opis: http://umwo.opole.pl/img/images/herb599.jpg" style="width:58.2pt;height:41.4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964122" w:rsidRPr="00CD63B1" w:rsidRDefault="00964122" w:rsidP="00EC6373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 id="_x0000_i1035" type="#_x0000_t75" style="width:94.8pt;height:43.8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964122" w:rsidRPr="00CD63B1" w:rsidRDefault="00964122" w:rsidP="00EC6373">
          <w:pPr>
            <w:pStyle w:val="Header"/>
            <w:jc w:val="center"/>
            <w:rPr>
              <w:sz w:val="18"/>
              <w:szCs w:val="18"/>
            </w:rPr>
          </w:pPr>
          <w:r w:rsidRPr="00336AAC">
            <w:rPr>
              <w:noProof/>
              <w:sz w:val="18"/>
              <w:szCs w:val="18"/>
              <w:lang w:eastAsia="pl-PL"/>
            </w:rPr>
            <w:pict>
              <v:shape id="_x0000_i1036" type="#_x0000_t75" style="width:114.6pt;height:43.2pt;visibility:visible">
                <v:imagedata r:id="rId4" o:title=""/>
              </v:shape>
            </w:pict>
          </w:r>
        </w:p>
      </w:tc>
    </w:tr>
    <w:tr w:rsidR="00964122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964122" w:rsidRPr="00CD63B1" w:rsidRDefault="00964122" w:rsidP="00EC6373">
          <w:pPr>
            <w:pStyle w:val="Header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964122" w:rsidRPr="00CD63B1" w:rsidRDefault="00964122" w:rsidP="00EC6373">
          <w:pPr>
            <w:pStyle w:val="Header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jest współfinansowany przez Unię Europejską w ramach Europejskiego Funduszu Społecznego</w:t>
          </w:r>
        </w:p>
      </w:tc>
    </w:tr>
  </w:tbl>
  <w:p w:rsidR="00964122" w:rsidRDefault="00964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22" w:rsidRDefault="00964122" w:rsidP="002070AA">
      <w:pPr>
        <w:spacing w:before="0" w:after="0" w:line="240" w:lineRule="auto"/>
      </w:pPr>
      <w:r>
        <w:separator/>
      </w:r>
    </w:p>
  </w:footnote>
  <w:footnote w:type="continuationSeparator" w:id="0">
    <w:p w:rsidR="00964122" w:rsidRDefault="0096412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9" w:type="dxa"/>
      <w:jc w:val="center"/>
      <w:tblCellMar>
        <w:left w:w="0" w:type="dxa"/>
        <w:right w:w="0" w:type="dxa"/>
      </w:tblCellMar>
      <w:tblLook w:val="00A0"/>
    </w:tblPr>
    <w:tblGrid>
      <w:gridCol w:w="2124"/>
      <w:gridCol w:w="7615"/>
    </w:tblGrid>
    <w:tr w:rsidR="00964122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964122" w:rsidRPr="00CD63B1" w:rsidRDefault="00964122" w:rsidP="00EC6373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7" type="#_x0000_t75" alt="EkP szare" style="width:67.8pt;height:67.8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964122" w:rsidRPr="00CD63B1" w:rsidRDefault="00964122" w:rsidP="00EC6373">
          <w:pPr>
            <w:pStyle w:val="Header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8" type="#_x0000_t136" style="width:358.8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964122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964122" w:rsidRPr="00CD63B1" w:rsidRDefault="00964122" w:rsidP="00EC6373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964122" w:rsidRPr="00CD63B1" w:rsidRDefault="00964122" w:rsidP="00EC6373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964122" w:rsidRDefault="00964122" w:rsidP="00EC6373">
          <w:pPr>
            <w:pStyle w:val="Header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964122" w:rsidRPr="0051620C" w:rsidRDefault="00964122" w:rsidP="00EC6373">
          <w:pPr>
            <w:pStyle w:val="Header"/>
            <w:jc w:val="right"/>
            <w:rPr>
              <w:sz w:val="16"/>
              <w:szCs w:val="16"/>
            </w:rPr>
          </w:pPr>
        </w:p>
        <w:p w:rsidR="00964122" w:rsidRPr="00CD63B1" w:rsidRDefault="00964122" w:rsidP="00EC6373">
          <w:pPr>
            <w:pStyle w:val="Header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964122" w:rsidRPr="0051620C" w:rsidRDefault="00964122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964122" w:rsidRPr="002778BD" w:rsidRDefault="00964122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4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A2D2A"/>
    <w:rsid w:val="000A3D7D"/>
    <w:rsid w:val="000A79DD"/>
    <w:rsid w:val="000E1086"/>
    <w:rsid w:val="000E3F42"/>
    <w:rsid w:val="00115478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69A5"/>
    <w:rsid w:val="002709EC"/>
    <w:rsid w:val="002769A3"/>
    <w:rsid w:val="002778B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15BC2"/>
    <w:rsid w:val="00431A1A"/>
    <w:rsid w:val="004361B6"/>
    <w:rsid w:val="00442518"/>
    <w:rsid w:val="00446306"/>
    <w:rsid w:val="00474819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67725"/>
    <w:rsid w:val="00575AC6"/>
    <w:rsid w:val="00592D82"/>
    <w:rsid w:val="005A4152"/>
    <w:rsid w:val="005A453C"/>
    <w:rsid w:val="005C478F"/>
    <w:rsid w:val="005E3697"/>
    <w:rsid w:val="005F0D5F"/>
    <w:rsid w:val="006035EE"/>
    <w:rsid w:val="0061610B"/>
    <w:rsid w:val="00617333"/>
    <w:rsid w:val="0062489A"/>
    <w:rsid w:val="00624B0A"/>
    <w:rsid w:val="00640916"/>
    <w:rsid w:val="00655657"/>
    <w:rsid w:val="00666DFA"/>
    <w:rsid w:val="0068235D"/>
    <w:rsid w:val="006A2524"/>
    <w:rsid w:val="006A63DA"/>
    <w:rsid w:val="006B00F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B477E"/>
    <w:rsid w:val="007D1005"/>
    <w:rsid w:val="007D318C"/>
    <w:rsid w:val="007E48BF"/>
    <w:rsid w:val="007F515C"/>
    <w:rsid w:val="007F5C38"/>
    <w:rsid w:val="007F5FF3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D6E43"/>
    <w:rsid w:val="00AD7182"/>
    <w:rsid w:val="00AF7FE8"/>
    <w:rsid w:val="00B04140"/>
    <w:rsid w:val="00B13D0B"/>
    <w:rsid w:val="00B14B2C"/>
    <w:rsid w:val="00B46011"/>
    <w:rsid w:val="00B67BFE"/>
    <w:rsid w:val="00B81619"/>
    <w:rsid w:val="00BA0680"/>
    <w:rsid w:val="00BB6759"/>
    <w:rsid w:val="00BE19DA"/>
    <w:rsid w:val="00C00695"/>
    <w:rsid w:val="00C040DA"/>
    <w:rsid w:val="00C262DF"/>
    <w:rsid w:val="00C31410"/>
    <w:rsid w:val="00C362F1"/>
    <w:rsid w:val="00C43253"/>
    <w:rsid w:val="00C5234D"/>
    <w:rsid w:val="00C53EFD"/>
    <w:rsid w:val="00C67507"/>
    <w:rsid w:val="00C9431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473C9"/>
    <w:rsid w:val="00F47820"/>
    <w:rsid w:val="00F51CC3"/>
    <w:rsid w:val="00F64610"/>
    <w:rsid w:val="00F6585E"/>
    <w:rsid w:val="00F66951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er">
    <w:name w:val="header"/>
    <w:aliases w:val="Znak,Znak + Wyjustowany,Interlinia:  Wi..."/>
    <w:basedOn w:val="Normal"/>
    <w:link w:val="HeaderChar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aliases w:val="Znak Char,Znak + Wyjustowany Char,Interlinia:  Wi... Char"/>
    <w:basedOn w:val="DefaultParagraphFont"/>
    <w:link w:val="Header"/>
    <w:uiPriority w:val="99"/>
    <w:locked/>
    <w:rsid w:val="002070AA"/>
  </w:style>
  <w:style w:type="paragraph" w:styleId="Footer">
    <w:name w:val="footer"/>
    <w:basedOn w:val="Normal"/>
    <w:link w:val="FooterChar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0AA"/>
  </w:style>
  <w:style w:type="paragraph" w:styleId="BalloonText">
    <w:name w:val="Balloon Text"/>
    <w:basedOn w:val="Normal"/>
    <w:link w:val="BalloonTextChar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212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0060D1"/>
  </w:style>
  <w:style w:type="character" w:customStyle="1" w:styleId="apple-converted-space">
    <w:name w:val="apple-converted-space"/>
    <w:basedOn w:val="DefaultParagraphFont"/>
    <w:uiPriority w:val="99"/>
    <w:rsid w:val="000060D1"/>
  </w:style>
  <w:style w:type="paragraph" w:styleId="BodyText">
    <w:name w:val="Body Text"/>
    <w:basedOn w:val="Normal"/>
    <w:link w:val="BodyTextChar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Web">
    <w:name w:val="Normal (Web)"/>
    <w:basedOn w:val="Normal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Pomoce-dydaktyczne" TargetMode="External"/><Relationship Id="rId13" Type="http://schemas.openxmlformats.org/officeDocument/2006/relationships/hyperlink" Target="http://www.przetargi.egospodarka.pl/Przyrzady-do-pomia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p.rcre.opolskie.pl" TargetMode="External"/><Relationship Id="rId12" Type="http://schemas.openxmlformats.org/officeDocument/2006/relationships/hyperlink" Target="http://www.przetargi.egospodarka.pl/Przyrzady-badawcz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targi.egospodarka.pl/Maszyny-i-aparatura-badawcza-i-pomiarow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hejduk@rcre.opolskie.pl" TargetMode="External"/><Relationship Id="rId10" Type="http://schemas.openxmlformats.org/officeDocument/2006/relationships/hyperlink" Target="http://www.przetargi.egospodarka.pl/Pomoce-naukow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.egospodarka.pl/Sprzet-dydaktyczny" TargetMode="External"/><Relationship Id="rId14" Type="http://schemas.openxmlformats.org/officeDocument/2006/relationships/hyperlink" Target="http://www.przetargi.egospodarka.pl/Pakiety-oprogramowania-edukacyjneg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12</Pages>
  <Words>5701</Words>
  <Characters>-32766</Characters>
  <Application>Microsoft Office Outlook</Application>
  <DocSecurity>0</DocSecurity>
  <Lines>0</Lines>
  <Paragraphs>0</Paragraphs>
  <ScaleCrop>false</ScaleCrop>
  <Company>WODIiP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ppp</cp:lastModifiedBy>
  <cp:revision>17</cp:revision>
  <cp:lastPrinted>2012-01-11T09:06:00Z</cp:lastPrinted>
  <dcterms:created xsi:type="dcterms:W3CDTF">2012-06-12T22:09:00Z</dcterms:created>
  <dcterms:modified xsi:type="dcterms:W3CDTF">2012-06-14T20:26:00Z</dcterms:modified>
</cp:coreProperties>
</file>