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A4DCF" w:rsidRPr="00556D73" w:rsidRDefault="00964122" w:rsidP="007A4DCF">
      <w:pPr>
        <w:tabs>
          <w:tab w:val="center" w:pos="9214"/>
        </w:tabs>
        <w:ind w:right="-30"/>
        <w:rPr>
          <w:rFonts w:ascii="Arial" w:hAnsi="Arial" w:cs="Arial"/>
          <w:b/>
          <w:i/>
          <w:sz w:val="24"/>
          <w:szCs w:val="24"/>
        </w:rPr>
      </w:pPr>
      <w:r w:rsidRPr="00556D73">
        <w:rPr>
          <w:rFonts w:ascii="Arial" w:hAnsi="Arial" w:cs="Arial"/>
          <w:b/>
          <w:bCs/>
          <w:i/>
          <w:iCs/>
          <w:sz w:val="24"/>
          <w:szCs w:val="24"/>
        </w:rPr>
        <w:t xml:space="preserve">na: </w:t>
      </w:r>
      <w:r w:rsidR="007A4DCF" w:rsidRPr="00556D73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Transport uczniów na zajęcia w pracowniach eksperymentalnych Zaczarowany Świat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REGIONALNE CENTRUM ROZWOJU EDUKACJI</w:t>
      </w:r>
      <w:r>
        <w:rPr>
          <w:color w:val="008FCF"/>
          <w:sz w:val="23"/>
          <w:szCs w:val="23"/>
        </w:rPr>
        <w:t xml:space="preserve">,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Tryb udzielania zamówienia :</w:t>
      </w:r>
      <w:r w:rsidRPr="002F0859">
        <w:rPr>
          <w:rFonts w:ascii="Arial" w:hAnsi="Arial" w:cs="Arial"/>
        </w:rPr>
        <w:t xml:space="preserve"> 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Miejsce i termin publikacji ogłoszenia o 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>, 45-315 Opole ul. 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 xml:space="preserve">wska 27  oraz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http://bip.rcre.opolskie.pl</w:t>
        </w:r>
      </w:hyperlink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r w:rsidRPr="00E63F3E">
        <w:rPr>
          <w:rFonts w:ascii="Arial" w:hAnsi="Arial" w:cs="Arial"/>
        </w:rPr>
        <w:t xml:space="preserve">runków zamówienia w dniu </w:t>
      </w:r>
      <w:r w:rsidRPr="00556D73">
        <w:rPr>
          <w:rFonts w:ascii="Arial" w:hAnsi="Arial" w:cs="Arial"/>
        </w:rPr>
        <w:t>1</w:t>
      </w:r>
      <w:r w:rsidR="005B7ECA" w:rsidRPr="00556D73">
        <w:rPr>
          <w:rFonts w:ascii="Arial" w:hAnsi="Arial" w:cs="Arial"/>
        </w:rPr>
        <w:t>3</w:t>
      </w:r>
      <w:r w:rsidRPr="00556D73">
        <w:rPr>
          <w:rFonts w:ascii="Arial" w:hAnsi="Arial" w:cs="Arial"/>
        </w:rPr>
        <w:t>.0</w:t>
      </w:r>
      <w:r w:rsidR="005B7ECA" w:rsidRPr="00556D73">
        <w:rPr>
          <w:rFonts w:ascii="Arial" w:hAnsi="Arial" w:cs="Arial"/>
        </w:rPr>
        <w:t>8</w:t>
      </w:r>
      <w:r w:rsidRPr="00556D73">
        <w:rPr>
          <w:rFonts w:ascii="Arial" w:hAnsi="Arial" w:cs="Arial"/>
        </w:rPr>
        <w:t>.2012 r.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F8423D" w:rsidRPr="00556D73" w:rsidRDefault="00964122" w:rsidP="006918A3">
      <w:pPr>
        <w:spacing w:before="0" w:after="0" w:line="240" w:lineRule="auto"/>
        <w:rPr>
          <w:rFonts w:ascii="Arial" w:hAnsi="Arial" w:cs="Arial"/>
          <w:color w:val="FF0000"/>
        </w:rPr>
      </w:pPr>
      <w:r w:rsidRPr="00556D73">
        <w:rPr>
          <w:rFonts w:ascii="Arial" w:hAnsi="Arial" w:cs="Arial"/>
        </w:rPr>
        <w:t xml:space="preserve">4.1 </w:t>
      </w:r>
      <w:r w:rsidR="00F8423D" w:rsidRPr="00556D73">
        <w:rPr>
          <w:rFonts w:ascii="Arial" w:hAnsi="Arial" w:cs="Arial"/>
        </w:rPr>
        <w:t>Przedmiotem zamówienia jest przewóz uczniów, który będzie polegał na dowozie uczniów z opiekunami z macierzystej Szkoły na terenie województwa opolskiego do budynku Regionalnego Centrum Rozwoju Edukacji  - 45-067 Opole, ul. Stanisława Dubois 36 oraz odwozie uczniów z opi</w:t>
      </w:r>
      <w:r w:rsidR="00F8423D" w:rsidRPr="00556D73">
        <w:rPr>
          <w:rFonts w:ascii="Arial" w:hAnsi="Arial" w:cs="Arial"/>
        </w:rPr>
        <w:t>e</w:t>
      </w:r>
      <w:r w:rsidR="00F8423D" w:rsidRPr="00556D73">
        <w:rPr>
          <w:rFonts w:ascii="Arial" w:hAnsi="Arial" w:cs="Arial"/>
        </w:rPr>
        <w:t>kunami z budynku RCRE do macierzystej Szkoły (według GRAFIKU PRZEJAZDÓW stanowiącego załącznik nr 1 do SIWZ).</w:t>
      </w:r>
    </w:p>
    <w:p w:rsidR="00F8423D" w:rsidRPr="00556D73" w:rsidRDefault="00F8423D" w:rsidP="00F8423D">
      <w:pPr>
        <w:pStyle w:val="Zwykytekst"/>
        <w:rPr>
          <w:rFonts w:ascii="Arial" w:hAnsi="Arial" w:cs="Arial"/>
        </w:rPr>
      </w:pPr>
      <w:r w:rsidRPr="00556D73">
        <w:rPr>
          <w:rFonts w:ascii="Arial" w:hAnsi="Arial" w:cs="Arial"/>
        </w:rPr>
        <w:t>Przewozy odbywać się będą w ciągu 80 dni, po jeden na dzień, w terminie od 10 września do 19 grudnia 2012 roku. W jednym przewozie uczestniczyć będzie do 42 osób. W każdym dniu przyjazd do RCRE nastąpi w godzinach 8:30-8:50, odjazd 14:30-14:45.</w:t>
      </w:r>
    </w:p>
    <w:p w:rsidR="00F8423D" w:rsidRPr="005D4F86" w:rsidRDefault="00F8423D" w:rsidP="00F8423D">
      <w:pPr>
        <w:pStyle w:val="Zwykytekst"/>
        <w:rPr>
          <w:rFonts w:ascii="Arial" w:hAnsi="Arial" w:cs="Arial"/>
        </w:rPr>
      </w:pPr>
      <w:r w:rsidRPr="00556D73">
        <w:rPr>
          <w:rFonts w:ascii="Arial" w:hAnsi="Arial" w:cs="Arial"/>
        </w:rPr>
        <w:t>Transport odbywać się będzie autobusami z ważnymi badaniami techni</w:t>
      </w:r>
      <w:r w:rsidR="007A4DCF" w:rsidRPr="00556D73">
        <w:rPr>
          <w:rFonts w:ascii="Arial" w:hAnsi="Arial" w:cs="Arial"/>
        </w:rPr>
        <w:t>cznymi (nie starszymi niż 5 lat</w:t>
      </w:r>
      <w:r w:rsidRPr="00556D73">
        <w:rPr>
          <w:rFonts w:ascii="Arial" w:hAnsi="Arial" w:cs="Arial"/>
        </w:rPr>
        <w:t>), środek</w:t>
      </w:r>
      <w:r w:rsidRPr="005D4F86">
        <w:rPr>
          <w:rFonts w:ascii="Arial" w:hAnsi="Arial" w:cs="Arial"/>
        </w:rPr>
        <w:t xml:space="preserve"> transportu powinien być ubezpieczony, spełniać wymogi estetyki i bezpieczeństwa.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posiada ubezpieczenie od odpowiedzialności cywilnej w zakresie prowadzonej działa</w:t>
      </w:r>
      <w:r w:rsidRPr="005D4F86">
        <w:rPr>
          <w:rFonts w:ascii="Arial" w:hAnsi="Arial" w:cs="Arial"/>
        </w:rPr>
        <w:t>l</w:t>
      </w:r>
      <w:r w:rsidRPr="005D4F86">
        <w:rPr>
          <w:rFonts w:ascii="Arial" w:hAnsi="Arial" w:cs="Arial"/>
        </w:rPr>
        <w:t xml:space="preserve">ności, wykonawca z którym zostanie podpisana umowa przedłoży kopię polisy odpowiedzialności cywilnej w zakresie prowadzonej działalności i będzie </w:t>
      </w:r>
      <w:r w:rsidRPr="00811872">
        <w:rPr>
          <w:rFonts w:ascii="Arial" w:hAnsi="Arial" w:cs="Arial"/>
        </w:rPr>
        <w:t>ona stanowiła załącznik do umowy.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gwarantuje bezpieczeństwo uczniów podczas wykonywania usług przewozu. Zamawi</w:t>
      </w:r>
      <w:r w:rsidRPr="005D4F86">
        <w:rPr>
          <w:rFonts w:ascii="Arial" w:hAnsi="Arial" w:cs="Arial"/>
        </w:rPr>
        <w:t>a</w:t>
      </w:r>
      <w:r w:rsidRPr="005D4F86">
        <w:rPr>
          <w:rFonts w:ascii="Arial" w:hAnsi="Arial" w:cs="Arial"/>
        </w:rPr>
        <w:t>jący nie bierze żadnej odpowiedzialności za wypadki i zdarzenia jakiegokolwiek typu, w wyniku kt</w:t>
      </w:r>
      <w:r w:rsidRPr="005D4F86">
        <w:rPr>
          <w:rFonts w:ascii="Arial" w:hAnsi="Arial" w:cs="Arial"/>
        </w:rPr>
        <w:t>ó</w:t>
      </w:r>
      <w:r w:rsidRPr="005D4F86">
        <w:rPr>
          <w:rFonts w:ascii="Arial" w:hAnsi="Arial" w:cs="Arial"/>
        </w:rPr>
        <w:t>rych nastąpi uszkodzenie ciała, śmierć czy szkoda materialna spowodowana działalnością Wyk</w:t>
      </w:r>
      <w:r w:rsidRPr="005D4F86">
        <w:rPr>
          <w:rFonts w:ascii="Arial" w:hAnsi="Arial" w:cs="Arial"/>
        </w:rPr>
        <w:t>o</w:t>
      </w:r>
      <w:r w:rsidRPr="005D4F86">
        <w:rPr>
          <w:rFonts w:ascii="Arial" w:hAnsi="Arial" w:cs="Arial"/>
        </w:rPr>
        <w:t>nawcy.</w:t>
      </w:r>
    </w:p>
    <w:p w:rsidR="00F8423D" w:rsidRPr="002F0859" w:rsidRDefault="00F8423D" w:rsidP="006918A3">
      <w:pPr>
        <w:spacing w:line="235" w:lineRule="auto"/>
        <w:rPr>
          <w:rFonts w:ascii="Arial" w:hAnsi="Arial" w:cs="Arial"/>
        </w:rPr>
      </w:pPr>
      <w:r w:rsidRPr="00176E77">
        <w:rPr>
          <w:rFonts w:ascii="Arial" w:hAnsi="Arial" w:cs="Arial"/>
        </w:rPr>
        <w:t xml:space="preserve">Wykonawca musi realizować niniejsze zamówienie zgodnie z przepisami prawa, a w szczególności w zgodzie z ustawą z dnia 6 września 2001 roku o transporcie drogowym (Dz. U. z 2007 r. Nr 125 poz. 874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 xml:space="preserve">. zm.) oraz ustawą z dnia 20 czerwca 1997 r. prawo o ruchu drogowym (Dz. U. z 2005 r. Nr 108 poz. 908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>. zm.).</w:t>
      </w:r>
    </w:p>
    <w:p w:rsidR="00F8423D" w:rsidRPr="005D4F86" w:rsidRDefault="00F8423D" w:rsidP="00F842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4.2 Usługa realizowana jest na potrzeby </w:t>
      </w:r>
      <w:r w:rsidR="00244230" w:rsidRPr="009E566C">
        <w:rPr>
          <w:rFonts w:ascii="Arial" w:hAnsi="Arial" w:cs="Arial"/>
        </w:rPr>
        <w:t>Projekt</w:t>
      </w:r>
      <w:r w:rsidR="00244230">
        <w:rPr>
          <w:rFonts w:ascii="Arial" w:hAnsi="Arial" w:cs="Arial"/>
        </w:rPr>
        <w:t>u</w:t>
      </w:r>
      <w:r w:rsidR="00244230" w:rsidRPr="009E566C">
        <w:rPr>
          <w:rFonts w:ascii="Arial" w:hAnsi="Arial" w:cs="Arial"/>
        </w:rPr>
        <w:t xml:space="preserve"> systemow</w:t>
      </w:r>
      <w:r w:rsidR="00244230">
        <w:rPr>
          <w:rFonts w:ascii="Arial" w:hAnsi="Arial" w:cs="Arial"/>
        </w:rPr>
        <w:t>ego</w:t>
      </w:r>
      <w:r w:rsidR="00244230" w:rsidRPr="009E566C">
        <w:rPr>
          <w:rFonts w:ascii="Arial" w:hAnsi="Arial" w:cs="Arial"/>
        </w:rPr>
        <w:t xml:space="preserve"> „Edukacja ku przyszłości”, nrPOKL.09.01.02-16-075/11, współfinansowanego ze środków Unii Europejskiej w ramach Europe</w:t>
      </w:r>
      <w:r w:rsidR="00244230" w:rsidRPr="009E566C">
        <w:rPr>
          <w:rFonts w:ascii="Arial" w:hAnsi="Arial" w:cs="Arial"/>
        </w:rPr>
        <w:t>j</w:t>
      </w:r>
      <w:r w:rsidR="00244230" w:rsidRPr="009E566C">
        <w:rPr>
          <w:rFonts w:ascii="Arial" w:hAnsi="Arial" w:cs="Arial"/>
        </w:rPr>
        <w:lastRenderedPageBreak/>
        <w:t>skiego Funduszu Społecznego w ramach Programu Operacyjnego Kapitał Ludzki, Priorytet IX. Rozwój wykształcenia i kompetencji w regionach.</w:t>
      </w:r>
    </w:p>
    <w:p w:rsidR="00F8423D" w:rsidRPr="002F0859" w:rsidRDefault="00F8423D" w:rsidP="00D51EEB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2F0859">
        <w:rPr>
          <w:rFonts w:ascii="Arial" w:hAnsi="Arial" w:cs="Arial"/>
        </w:rPr>
        <w:t xml:space="preserve"> Nazwa i kod Wspólnego Słownika Zamówień</w:t>
      </w:r>
      <w:r w:rsidRPr="002F0859">
        <w:rPr>
          <w:rFonts w:ascii="Arial" w:hAnsi="Arial" w:cs="Arial"/>
          <w:b/>
          <w:bCs/>
        </w:rPr>
        <w:t xml:space="preserve"> (CPV):</w:t>
      </w:r>
    </w:p>
    <w:p w:rsidR="00F8423D" w:rsidRPr="00936DA3" w:rsidRDefault="00F8423D" w:rsidP="00D51EEB">
      <w:pPr>
        <w:spacing w:before="0" w:after="0" w:line="240" w:lineRule="auto"/>
        <w:rPr>
          <w:rFonts w:ascii="Arial" w:hAnsi="Arial" w:cs="Arial"/>
        </w:rPr>
      </w:pPr>
      <w:r w:rsidRPr="00936DA3">
        <w:rPr>
          <w:rFonts w:ascii="Arial" w:hAnsi="Arial" w:cs="Arial"/>
        </w:rPr>
        <w:t xml:space="preserve">60100000-9 </w:t>
      </w:r>
      <w:hyperlink r:id="rId9" w:history="1">
        <w:r w:rsidRPr="00936DA3">
          <w:rPr>
            <w:rStyle w:val="Hipercze"/>
            <w:rFonts w:ascii="Arial" w:hAnsi="Arial" w:cs="Arial"/>
          </w:rPr>
          <w:t>Usługi w zakresie transportu drogowego</w:t>
        </w:r>
      </w:hyperlink>
    </w:p>
    <w:p w:rsidR="00F8423D" w:rsidRDefault="00F8423D" w:rsidP="00D51EEB">
      <w:pPr>
        <w:spacing w:before="0" w:after="0" w:line="240" w:lineRule="auto"/>
        <w:rPr>
          <w:rStyle w:val="Hipercze"/>
          <w:rFonts w:ascii="Arial" w:hAnsi="Arial" w:cs="Arial"/>
        </w:rPr>
      </w:pPr>
      <w:r w:rsidRPr="00936DA3">
        <w:rPr>
          <w:rFonts w:ascii="Arial" w:hAnsi="Arial" w:cs="Arial"/>
        </w:rPr>
        <w:t xml:space="preserve">60172000-4 </w:t>
      </w:r>
      <w:hyperlink r:id="rId10" w:history="1">
        <w:r w:rsidRPr="00936DA3">
          <w:rPr>
            <w:rStyle w:val="Hipercze"/>
            <w:rFonts w:ascii="Arial" w:hAnsi="Arial" w:cs="Arial"/>
          </w:rPr>
          <w:t>Wynajem autobusów i autokarów wraz z kierowcą</w:t>
        </w:r>
      </w:hyperlink>
    </w:p>
    <w:p w:rsidR="00D51EEB" w:rsidRPr="00D51EEB" w:rsidRDefault="00D51EEB" w:rsidP="00D51EEB">
      <w:pPr>
        <w:spacing w:before="0" w:after="0" w:line="240" w:lineRule="auto"/>
        <w:rPr>
          <w:rFonts w:ascii="Arial" w:hAnsi="Arial" w:cs="Arial"/>
          <w:iCs/>
        </w:rPr>
      </w:pPr>
      <w:r w:rsidRPr="00D51EEB">
        <w:rPr>
          <w:rStyle w:val="Hipercze"/>
          <w:rFonts w:ascii="Arial" w:hAnsi="Arial" w:cs="Arial"/>
          <w:color w:val="auto"/>
          <w:u w:val="none"/>
        </w:rPr>
        <w:t>4.4</w:t>
      </w:r>
      <w:r w:rsidRPr="00D51EEB">
        <w:rPr>
          <w:rFonts w:ascii="Tahoma" w:hAnsi="Tahoma" w:cs="Tahoma"/>
        </w:rPr>
        <w:t xml:space="preserve"> </w:t>
      </w:r>
      <w:r w:rsidRPr="000A03F3">
        <w:rPr>
          <w:rFonts w:ascii="Tahoma" w:hAnsi="Tahoma" w:cs="Tahoma"/>
        </w:rPr>
        <w:t>Wartość zamówienia została ustalona na kwotę (bez podatku VAT):</w:t>
      </w:r>
      <w:r>
        <w:rPr>
          <w:rFonts w:ascii="Tahoma" w:hAnsi="Tahoma" w:cs="Tahoma"/>
        </w:rPr>
        <w:t xml:space="preserve"> 64 814,81 zł</w:t>
      </w:r>
    </w:p>
    <w:p w:rsidR="00964122" w:rsidRPr="00994FB5" w:rsidRDefault="00964122" w:rsidP="00D51EEB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D51EE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556D73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556D7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5B7ECA" w:rsidRPr="00556D73">
        <w:rPr>
          <w:rFonts w:ascii="Arial" w:hAnsi="Arial" w:cs="Arial"/>
          <w:b/>
          <w:bCs/>
          <w:u w:val="single"/>
        </w:rPr>
        <w:t xml:space="preserve">częściowych ani </w:t>
      </w:r>
      <w:r w:rsidRPr="00556D73">
        <w:rPr>
          <w:rFonts w:ascii="Arial" w:hAnsi="Arial" w:cs="Arial"/>
          <w:b/>
          <w:bCs/>
          <w:u w:val="single"/>
        </w:rPr>
        <w:t>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Termin wykonania zamówienia :</w:t>
      </w:r>
      <w:r w:rsidRPr="002F0859">
        <w:rPr>
          <w:rFonts w:ascii="Arial" w:hAnsi="Arial" w:cs="Arial"/>
          <w:b/>
          <w:bCs/>
        </w:rPr>
        <w:t xml:space="preserve"> </w:t>
      </w:r>
    </w:p>
    <w:p w:rsidR="00964122" w:rsidRPr="00556D73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="0063239A" w:rsidRPr="00556D73">
        <w:rPr>
          <w:rFonts w:ascii="Arial" w:hAnsi="Arial" w:cs="Arial"/>
        </w:rPr>
        <w:t>od 10 września do 19 grudnia 2012 roku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spełniania tych warunków.</w:t>
      </w:r>
    </w:p>
    <w:p w:rsidR="005B7ECA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warunki,  o których mowa w art. 22 ust. 1 ustawy Prawo zamówień publicznych.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9.1.Wykonawca musi potwierdzić, że posiada uprawnienia do wykonywania działalności będącej przedmiotem niniejszego postępowania.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Ocena warunku dokonana zostanie na podstawie:</w:t>
      </w:r>
    </w:p>
    <w:p w:rsidR="0007258B" w:rsidRPr="0007258B" w:rsidRDefault="0007258B" w:rsidP="0007258B">
      <w:pPr>
        <w:tabs>
          <w:tab w:val="num" w:pos="720"/>
        </w:tabs>
        <w:rPr>
          <w:rFonts w:ascii="Arial" w:hAnsi="Arial" w:cs="Arial"/>
          <w:b/>
          <w:u w:val="single"/>
        </w:rPr>
      </w:pPr>
      <w:r w:rsidRPr="009F4BBE">
        <w:rPr>
          <w:rFonts w:ascii="Arial" w:hAnsi="Arial" w:cs="Arial"/>
        </w:rPr>
        <w:t>- aktualnej licencji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z 2007 r. Nr 125, poz. 874 z </w:t>
      </w:r>
      <w:proofErr w:type="spellStart"/>
      <w:r w:rsidRPr="009F4BBE">
        <w:rPr>
          <w:rFonts w:ascii="Arial" w:hAnsi="Arial" w:cs="Arial"/>
        </w:rPr>
        <w:t>późn</w:t>
      </w:r>
      <w:proofErr w:type="spellEnd"/>
      <w:r w:rsidRPr="009F4BBE">
        <w:rPr>
          <w:rFonts w:ascii="Arial" w:hAnsi="Arial" w:cs="Arial"/>
        </w:rPr>
        <w:t>. zm.)</w:t>
      </w:r>
    </w:p>
    <w:p w:rsidR="0007258B" w:rsidRPr="00783661" w:rsidRDefault="0007258B" w:rsidP="0007258B">
      <w:pPr>
        <w:rPr>
          <w:rFonts w:ascii="Arial" w:hAnsi="Arial" w:cs="Arial"/>
        </w:rPr>
      </w:pPr>
      <w:r w:rsidRPr="0002299D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>2</w:t>
      </w:r>
      <w:r w:rsidRPr="0002299D">
        <w:rPr>
          <w:rFonts w:ascii="Arial" w:hAnsi="Arial" w:cs="Arial"/>
          <w:iCs/>
        </w:rPr>
        <w:t xml:space="preserve"> W</w:t>
      </w:r>
      <w:r w:rsidRPr="0002299D">
        <w:rPr>
          <w:rFonts w:ascii="Arial" w:hAnsi="Arial" w:cs="Arial"/>
        </w:rPr>
        <w:t>ykonawca  w celu potwierdzenia posiadania wiedzy i doświadczenia musi wykazać, że: nal</w:t>
      </w:r>
      <w:r w:rsidRPr="0002299D">
        <w:rPr>
          <w:rFonts w:ascii="Arial" w:hAnsi="Arial" w:cs="Arial"/>
        </w:rPr>
        <w:t>e</w:t>
      </w:r>
      <w:r w:rsidRPr="0002299D">
        <w:rPr>
          <w:rFonts w:ascii="Arial" w:hAnsi="Arial" w:cs="Arial"/>
        </w:rPr>
        <w:t>życie wykonał, z zastrzeżeniem art. 26 ust. 2 b ustawy Prawo zamówień publicznych,  w okresie ostatnich trzech lat przed upływem terminu składania ofert, a jeżeli okres prowadzenia działalnośc</w:t>
      </w:r>
      <w:r>
        <w:rPr>
          <w:rFonts w:ascii="Arial" w:hAnsi="Arial" w:cs="Arial"/>
        </w:rPr>
        <w:t>i jest krótszy – w tym okresie,</w:t>
      </w:r>
      <w:r w:rsidRPr="0002299D">
        <w:rPr>
          <w:rFonts w:ascii="Arial" w:hAnsi="Arial" w:cs="Arial"/>
        </w:rPr>
        <w:t xml:space="preserve"> </w:t>
      </w:r>
      <w:r w:rsidRPr="009F4BBE">
        <w:rPr>
          <w:rFonts w:ascii="Arial" w:hAnsi="Arial" w:cs="Arial"/>
        </w:rPr>
        <w:t>minimum dwie usługi transportu dla minimum 100 osób</w:t>
      </w:r>
      <w:r w:rsidRPr="009F4BBE">
        <w:rPr>
          <w:rFonts w:ascii="Arial" w:hAnsi="Arial" w:cs="Arial"/>
          <w:color w:val="FF0000"/>
        </w:rPr>
        <w:t>.</w:t>
      </w:r>
    </w:p>
    <w:p w:rsidR="0007258B" w:rsidRPr="00783661" w:rsidRDefault="0007258B" w:rsidP="0007258B">
      <w:pPr>
        <w:rPr>
          <w:rFonts w:ascii="Arial" w:hAnsi="Arial" w:cs="Arial"/>
        </w:rPr>
      </w:pPr>
      <w:r w:rsidRPr="00783661">
        <w:rPr>
          <w:rFonts w:ascii="Arial" w:hAnsi="Arial" w:cs="Arial"/>
        </w:rPr>
        <w:t xml:space="preserve">       Ocena spełnienia warunku dokonana zostanie na podstawie:</w:t>
      </w:r>
    </w:p>
    <w:p w:rsidR="0007258B" w:rsidRPr="00783661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r w:rsidRPr="00783661">
        <w:rPr>
          <w:rFonts w:ascii="Arial" w:hAnsi="Arial" w:cs="Arial"/>
        </w:rPr>
        <w:t xml:space="preserve">wykazu </w:t>
      </w:r>
      <w:r w:rsidRPr="009F4BBE">
        <w:rPr>
          <w:rFonts w:ascii="Arial" w:hAnsi="Arial" w:cs="Arial"/>
        </w:rPr>
        <w:t>minimum dwóch usług transportu dla minimum 100 osób,</w:t>
      </w:r>
      <w:r w:rsidRPr="00783661">
        <w:rPr>
          <w:rFonts w:ascii="Arial" w:hAnsi="Arial" w:cs="Arial"/>
        </w:rPr>
        <w:t xml:space="preserve"> wykonanych w okresie ostatnich trzech lat przed upływem terminu składania ofert, a jeżeli okres prowadzenia dzi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>łalności jest krótszy – z tego okresu, przygotowane wg wzoru</w:t>
      </w:r>
      <w:r w:rsidRPr="00783661">
        <w:rPr>
          <w:rFonts w:ascii="Arial" w:hAnsi="Arial" w:cs="Arial"/>
          <w:b/>
        </w:rPr>
        <w:t xml:space="preserve"> - </w:t>
      </w:r>
      <w:r w:rsidRPr="009F4BBE">
        <w:rPr>
          <w:rFonts w:ascii="Arial" w:hAnsi="Arial" w:cs="Arial"/>
          <w:b/>
        </w:rPr>
        <w:t>załącznika nr 2</w:t>
      </w:r>
      <w:r w:rsidRPr="00783661">
        <w:rPr>
          <w:rFonts w:ascii="Arial" w:hAnsi="Arial" w:cs="Arial"/>
        </w:rPr>
        <w:t xml:space="preserve"> do SIWZ,  </w:t>
      </w:r>
    </w:p>
    <w:p w:rsidR="0007258B" w:rsidRPr="000427C9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r w:rsidRPr="003070F3">
        <w:rPr>
          <w:rFonts w:ascii="Arial" w:hAnsi="Arial" w:cs="Arial"/>
        </w:rPr>
        <w:t xml:space="preserve">dokumentów potwierdzających, że </w:t>
      </w:r>
      <w:r>
        <w:rPr>
          <w:rFonts w:ascii="Arial" w:hAnsi="Arial" w:cs="Arial"/>
        </w:rPr>
        <w:t>usługi</w:t>
      </w:r>
      <w:r w:rsidRPr="003070F3">
        <w:rPr>
          <w:rFonts w:ascii="Arial" w:hAnsi="Arial" w:cs="Arial"/>
        </w:rPr>
        <w:t xml:space="preserve"> wskazane w wykazie zostały wykonane należycie (np.: referencje, protokoły odbioru).</w:t>
      </w:r>
    </w:p>
    <w:p w:rsidR="005B7ECA" w:rsidRDefault="005B7ECA" w:rsidP="00994FB5">
      <w:pPr>
        <w:spacing w:before="0" w:after="0" w:line="240" w:lineRule="auto"/>
        <w:rPr>
          <w:rFonts w:ascii="Arial" w:hAnsi="Arial" w:cs="Arial"/>
        </w:rPr>
      </w:pP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</w:t>
      </w:r>
      <w:r w:rsidR="0007258B">
        <w:rPr>
          <w:rFonts w:ascii="Arial" w:hAnsi="Arial" w:cs="Arial"/>
        </w:rPr>
        <w:t>3</w:t>
      </w:r>
      <w:r w:rsidRPr="002669A5">
        <w:rPr>
          <w:rFonts w:ascii="Arial" w:hAnsi="Arial" w:cs="Arial"/>
        </w:rPr>
        <w:t xml:space="preserve">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oświadczenia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>Oświadczenie o spełnianiu warunków, o których mowa w art.22 ust.1  ustawy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lastRenderedPageBreak/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r w:rsidRPr="009F4BBE">
        <w:rPr>
          <w:rFonts w:ascii="Arial" w:hAnsi="Arial" w:cs="Arial"/>
        </w:rPr>
        <w:t>aktualna licencja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z 2007 r. Nr 125, poz. 874 z </w:t>
      </w:r>
      <w:proofErr w:type="spellStart"/>
      <w:r w:rsidRPr="009F4BBE">
        <w:rPr>
          <w:rFonts w:ascii="Arial" w:hAnsi="Arial" w:cs="Arial"/>
        </w:rPr>
        <w:t>póź</w:t>
      </w:r>
      <w:proofErr w:type="spellEnd"/>
      <w:r w:rsidRPr="009F4BBE">
        <w:rPr>
          <w:rFonts w:ascii="Arial" w:hAnsi="Arial" w:cs="Arial"/>
        </w:rPr>
        <w:t>. zm.)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r w:rsidRPr="009F4BBE">
        <w:rPr>
          <w:rFonts w:ascii="Arial" w:hAnsi="Arial" w:cs="Arial"/>
        </w:rPr>
        <w:t>Wykaz minimum dwóch usług transportu dla minimum 100 osób</w:t>
      </w:r>
      <w:r w:rsidRPr="009F4BBE">
        <w:rPr>
          <w:rFonts w:ascii="Arial" w:hAnsi="Arial" w:cs="Arial"/>
          <w:color w:val="FF0000"/>
        </w:rPr>
        <w:t xml:space="preserve"> </w:t>
      </w:r>
      <w:r w:rsidRPr="009F4BBE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Pr="009F4BBE">
        <w:rPr>
          <w:rFonts w:ascii="Arial" w:hAnsi="Arial" w:cs="Arial"/>
          <w:b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07258B" w:rsidRPr="0007258B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Cs/>
        </w:rPr>
      </w:pPr>
      <w:r w:rsidRPr="009F4BBE">
        <w:rPr>
          <w:rFonts w:ascii="Arial" w:hAnsi="Arial" w:cs="Arial"/>
        </w:rPr>
        <w:t>Dokumenty potwierdzające, że usługi wskazane w wykazie, o którym mowa w pkt 10.</w:t>
      </w:r>
      <w:r w:rsidR="00811872">
        <w:rPr>
          <w:rFonts w:ascii="Arial" w:hAnsi="Arial" w:cs="Arial"/>
        </w:rPr>
        <w:t>4</w:t>
      </w:r>
      <w:r w:rsidRPr="009F4BBE">
        <w:rPr>
          <w:rFonts w:ascii="Arial" w:hAnsi="Arial" w:cs="Arial"/>
        </w:rPr>
        <w:t xml:space="preserve"> z</w:t>
      </w:r>
      <w:r w:rsidRPr="009F4BBE">
        <w:rPr>
          <w:rFonts w:ascii="Arial" w:hAnsi="Arial" w:cs="Arial"/>
        </w:rPr>
        <w:t>o</w:t>
      </w:r>
      <w:r w:rsidRPr="009F4BBE">
        <w:rPr>
          <w:rFonts w:ascii="Arial" w:hAnsi="Arial" w:cs="Arial"/>
        </w:rPr>
        <w:t>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</w:t>
      </w:r>
      <w:r w:rsidRPr="00555C60">
        <w:rPr>
          <w:rFonts w:ascii="Arial" w:hAnsi="Arial" w:cs="Arial"/>
        </w:rPr>
        <w:t>d</w:t>
      </w:r>
      <w:r w:rsidRPr="00555C60">
        <w:rPr>
          <w:rFonts w:ascii="Arial" w:hAnsi="Arial" w:cs="Arial"/>
        </w:rPr>
        <w:t>kłada pisemne zobowiązanie tych podmiotów do oddania do dyspozycji wykonawcy zasobów okr</w:t>
      </w:r>
      <w:r w:rsidRPr="00555C60">
        <w:rPr>
          <w:rFonts w:ascii="Arial" w:hAnsi="Arial" w:cs="Arial"/>
        </w:rPr>
        <w:t>e</w:t>
      </w:r>
      <w:r w:rsidRPr="00555C60">
        <w:rPr>
          <w:rFonts w:ascii="Arial" w:hAnsi="Arial" w:cs="Arial"/>
        </w:rPr>
        <w:t>ślonych w art. 26 ust. 2b ustawy Prawo zamówień publicznych, umożliwiających wykonanie zam</w:t>
      </w:r>
      <w:r w:rsidRPr="00555C60">
        <w:rPr>
          <w:rFonts w:ascii="Arial" w:hAnsi="Arial" w:cs="Arial"/>
        </w:rPr>
        <w:t>ó</w:t>
      </w:r>
      <w:r w:rsidRPr="00555C60">
        <w:rPr>
          <w:rFonts w:ascii="Arial" w:hAnsi="Arial" w:cs="Arial"/>
        </w:rPr>
        <w:t xml:space="preserve">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wykonawca  udowodni</w:t>
      </w:r>
      <w:r w:rsidRPr="00DE09A8">
        <w:rPr>
          <w:rFonts w:ascii="Arial" w:hAnsi="Arial" w:cs="Arial"/>
        </w:rPr>
        <w:t xml:space="preserve"> w inny sposób iż będzie dysp</w:t>
      </w:r>
      <w:r w:rsidRPr="00DE09A8">
        <w:rPr>
          <w:rFonts w:ascii="Arial" w:hAnsi="Arial" w:cs="Arial"/>
        </w:rPr>
        <w:t>o</w:t>
      </w:r>
      <w:r w:rsidRPr="00DE09A8">
        <w:rPr>
          <w:rFonts w:ascii="Arial" w:hAnsi="Arial" w:cs="Arial"/>
        </w:rPr>
        <w:t>nował zasobami niezbędnymi do realizacji zamówienia np. przedłoży zawarte umowy czy oświa</w:t>
      </w:r>
      <w:r w:rsidRPr="00DE09A8">
        <w:rPr>
          <w:rFonts w:ascii="Arial" w:hAnsi="Arial" w:cs="Arial"/>
        </w:rPr>
        <w:t>d</w:t>
      </w:r>
      <w:r w:rsidRPr="00DE09A8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wykonawca  polega na zasobach innych podmiotów </w:t>
      </w:r>
      <w:r w:rsidRPr="00783661">
        <w:rPr>
          <w:rFonts w:ascii="Arial" w:hAnsi="Arial" w:cs="Arial"/>
          <w:sz w:val="22"/>
          <w:szCs w:val="22"/>
        </w:rPr>
        <w:t>(pkt 10.</w:t>
      </w:r>
      <w:r w:rsidR="0007258B">
        <w:rPr>
          <w:rFonts w:ascii="Arial" w:hAnsi="Arial" w:cs="Arial"/>
          <w:sz w:val="22"/>
          <w:szCs w:val="22"/>
        </w:rPr>
        <w:t>6</w:t>
      </w:r>
      <w:r w:rsidR="00811872">
        <w:rPr>
          <w:rFonts w:ascii="Arial" w:hAnsi="Arial" w:cs="Arial"/>
          <w:sz w:val="22"/>
          <w:szCs w:val="22"/>
        </w:rPr>
        <w:t xml:space="preserve"> </w:t>
      </w:r>
      <w:r w:rsidRPr="00783661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>kopie dok</w:t>
      </w:r>
      <w:r w:rsidRPr="00F90C49">
        <w:rPr>
          <w:rFonts w:ascii="Arial" w:hAnsi="Arial" w:cs="Arial"/>
          <w:sz w:val="22"/>
          <w:szCs w:val="22"/>
        </w:rPr>
        <w:t>u</w:t>
      </w:r>
      <w:r w:rsidRPr="00F90C49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pełnomocnictw, albo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11.2 Wykonawcy występujący jako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11.3 Jeżeli oferta wykonawców ubiegających się wspólnie o udzielenie zamówienia publicznego zostanie wybrana, zamawiający przed zawarciem umowy w sprawie zamówienia  publicznego,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na   wykonawcę,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r w:rsidRPr="0006136B">
        <w:rPr>
          <w:rFonts w:ascii="Arial" w:hAnsi="Arial" w:cs="Arial"/>
          <w:b/>
          <w:bCs/>
        </w:rPr>
        <w:t xml:space="preserve">mail: </w:t>
      </w:r>
      <w:hyperlink r:id="rId11" w:history="1">
        <w:r w:rsidRPr="0006136B">
          <w:rPr>
            <w:rStyle w:val="Hipercze"/>
            <w:rFonts w:ascii="Arial" w:hAnsi="Arial" w:cs="Arial"/>
            <w:b/>
            <w:bCs/>
          </w:rPr>
          <w:t>mhejduk@rcre.opolskie.pl</w:t>
        </w:r>
      </w:hyperlink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warunkiem że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zamieści  na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zbędny będzie dodatkowy czas na wprowadzenie zmian w ofertach, zamawiający również w tym przypadku, przedłuży termin składania ofert i  poinformuje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mgr inż. Małgorzata Hejduk</w:t>
      </w:r>
      <w:r w:rsidRPr="002F0859">
        <w:rPr>
          <w:rFonts w:ascii="Arial" w:hAnsi="Arial" w:cs="Arial"/>
        </w:rPr>
        <w:tab/>
        <w:t xml:space="preserve"> -     specjalista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r w:rsidRPr="00556D73">
        <w:rPr>
          <w:rFonts w:ascii="Arial" w:hAnsi="Arial" w:cs="Arial"/>
        </w:rPr>
        <w:t xml:space="preserve">tel. </w:t>
      </w:r>
      <w:r w:rsidR="005B7ECA" w:rsidRPr="00556D73">
        <w:rPr>
          <w:rFonts w:ascii="Arial" w:hAnsi="Arial" w:cs="Arial"/>
        </w:rPr>
        <w:t>77 400 82 39</w:t>
      </w:r>
      <w:r w:rsidRPr="00556D73">
        <w:rPr>
          <w:rFonts w:ascii="Arial" w:hAnsi="Arial" w:cs="Arial"/>
        </w:rPr>
        <w:t xml:space="preserve"> pon.– pt.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</w:t>
      </w:r>
      <w:r w:rsidRPr="00556D73">
        <w:rPr>
          <w:rFonts w:ascii="Arial" w:hAnsi="Arial" w:cs="Arial"/>
          <w:sz w:val="22"/>
          <w:szCs w:val="22"/>
        </w:rPr>
        <w:t xml:space="preserve">złożoną przez siebie ofertą przez 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556D73">
        <w:rPr>
          <w:rFonts w:ascii="Arial" w:hAnsi="Arial" w:cs="Arial"/>
          <w:sz w:val="22"/>
          <w:szCs w:val="22"/>
        </w:rPr>
        <w:t>dni od upływu terminu skład</w:t>
      </w:r>
      <w:r w:rsidRPr="00556D73">
        <w:rPr>
          <w:rFonts w:ascii="Arial" w:hAnsi="Arial" w:cs="Arial"/>
          <w:sz w:val="22"/>
          <w:szCs w:val="22"/>
        </w:rPr>
        <w:t>a</w:t>
      </w:r>
      <w:r w:rsidRPr="00556D73">
        <w:rPr>
          <w:rFonts w:ascii="Arial" w:hAnsi="Arial" w:cs="Arial"/>
          <w:sz w:val="22"/>
          <w:szCs w:val="22"/>
        </w:rPr>
        <w:t>nia ofert, tj. do dnia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 </w:t>
      </w:r>
      <w:r w:rsidR="0063239A" w:rsidRPr="00556D73">
        <w:rPr>
          <w:rFonts w:ascii="Arial" w:hAnsi="Arial" w:cs="Arial"/>
          <w:b/>
          <w:bCs/>
          <w:sz w:val="22"/>
          <w:szCs w:val="22"/>
        </w:rPr>
        <w:t>19.09</w:t>
      </w:r>
      <w:r w:rsidRPr="00556D73">
        <w:rPr>
          <w:rFonts w:ascii="Arial" w:hAnsi="Arial" w:cs="Arial"/>
          <w:b/>
          <w:bCs/>
          <w:sz w:val="22"/>
          <w:szCs w:val="22"/>
        </w:rPr>
        <w:t>.2012r.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6918A3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7B632D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wypełniony formularz ofertowy według </w:t>
      </w:r>
      <w:r w:rsidRPr="009F4BBE">
        <w:rPr>
          <w:rFonts w:ascii="Arial" w:hAnsi="Arial" w:cs="Arial"/>
          <w:b/>
        </w:rPr>
        <w:t>załącznika nr 5</w:t>
      </w:r>
      <w:r w:rsidRPr="002F0859">
        <w:rPr>
          <w:rFonts w:ascii="Arial" w:hAnsi="Arial" w:cs="Arial"/>
        </w:rPr>
        <w:t xml:space="preserve"> do SIWZ,</w:t>
      </w:r>
    </w:p>
    <w:p w:rsidR="00AC3C5F" w:rsidRPr="00556D73" w:rsidRDefault="00AC3C5F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kalkulacja cenowa, sporządzona w oparciu o formularz Grafik przejazdów stanowiący </w:t>
      </w:r>
      <w:r w:rsidRPr="00556D73">
        <w:rPr>
          <w:rFonts w:ascii="Arial" w:hAnsi="Arial" w:cs="Arial"/>
          <w:b/>
          <w:bCs/>
        </w:rPr>
        <w:t>załąc</w:t>
      </w:r>
      <w:r w:rsidRPr="00556D73">
        <w:rPr>
          <w:rFonts w:ascii="Arial" w:hAnsi="Arial" w:cs="Arial"/>
          <w:b/>
          <w:bCs/>
        </w:rPr>
        <w:t>z</w:t>
      </w:r>
      <w:r w:rsidRPr="00556D73">
        <w:rPr>
          <w:rFonts w:ascii="Arial" w:hAnsi="Arial" w:cs="Arial"/>
          <w:b/>
          <w:bCs/>
        </w:rPr>
        <w:t>nik nr 1</w:t>
      </w:r>
      <w:r w:rsidRPr="00556D73">
        <w:rPr>
          <w:rFonts w:ascii="Arial" w:hAnsi="Arial" w:cs="Arial"/>
        </w:rPr>
        <w:t xml:space="preserve"> do SIWZ 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dokumenty i oświadczenia, o których mowa w punkcie 10 niniejszej SIWZ,</w:t>
      </w:r>
    </w:p>
    <w:p w:rsidR="007B632D" w:rsidRPr="002F0859" w:rsidRDefault="007B632D" w:rsidP="006918A3">
      <w:pPr>
        <w:spacing w:before="0" w:after="0" w:line="240" w:lineRule="auto"/>
        <w:ind w:left="284"/>
        <w:rPr>
          <w:rFonts w:ascii="Arial" w:hAnsi="Arial" w:cs="Arial"/>
          <w:i/>
          <w:iCs/>
        </w:rPr>
      </w:pPr>
      <w:r w:rsidRPr="002F0859">
        <w:rPr>
          <w:rFonts w:ascii="Arial" w:hAnsi="Arial" w:cs="Arial"/>
          <w:i/>
          <w:iCs/>
        </w:rPr>
        <w:t>ewentualnie: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rPr>
          <w:rFonts w:ascii="Arial" w:hAnsi="Arial" w:cs="Arial"/>
        </w:rPr>
      </w:pPr>
      <w:r w:rsidRPr="002F0859">
        <w:rPr>
          <w:rFonts w:ascii="Arial" w:hAnsi="Arial" w:cs="Arial"/>
        </w:rPr>
        <w:t>pełnomocnictwo (w sytuacji, gdy ofertę podpisuje osoba, której prawo do reprezentowania fi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my nie wynika z dokumentu rejestrowego).</w:t>
      </w:r>
    </w:p>
    <w:p w:rsidR="007B632D" w:rsidRPr="00C262DF" w:rsidRDefault="007B632D" w:rsidP="007B632D">
      <w:pPr>
        <w:spacing w:before="0" w:after="0" w:line="240" w:lineRule="auto"/>
        <w:jc w:val="both"/>
        <w:rPr>
          <w:rFonts w:ascii="Arial" w:hAnsi="Arial" w:cs="Arial"/>
        </w:rPr>
      </w:pP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 xml:space="preserve">(ę)y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(ę)y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Wykonawcy ponoszą wszelkie koszty związane z przygotowaniem i złożeniem oferty,  z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czerwca  1993 r.,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 których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6918A3" w:rsidRDefault="00964122" w:rsidP="006918A3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lastRenderedPageBreak/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964122" w:rsidRPr="00556D73" w:rsidRDefault="00964122" w:rsidP="00C262DF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56D7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„Oferta na </w:t>
      </w:r>
      <w:r w:rsidR="009E4597" w:rsidRPr="00556D73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Transport uczniów na zajęcia w pracowniach eksperymentalnych Zacz</w:t>
      </w:r>
      <w:r w:rsidR="009E4597" w:rsidRPr="00556D73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a</w:t>
      </w:r>
      <w:r w:rsidR="009E4597" w:rsidRPr="00556D73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rowany Świat</w:t>
      </w:r>
      <w:r w:rsidR="00E51B7D" w:rsidRPr="00556D73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556D73">
        <w:rPr>
          <w:rFonts w:ascii="Arial" w:hAnsi="Arial" w:cs="Arial"/>
          <w:b/>
          <w:bCs/>
          <w:i/>
          <w:iCs/>
        </w:rPr>
        <w:t xml:space="preserve"> </w:t>
      </w:r>
      <w:r w:rsidRPr="00556D73">
        <w:rPr>
          <w:rFonts w:ascii="Arial" w:hAnsi="Arial" w:cs="Arial"/>
          <w:b/>
          <w:bCs/>
        </w:rPr>
        <w:t xml:space="preserve">Nie otwierać przed godz. 15:00 dnia </w:t>
      </w:r>
      <w:r w:rsidR="00AC3C5F" w:rsidRPr="00556D73">
        <w:rPr>
          <w:rFonts w:ascii="Arial" w:hAnsi="Arial" w:cs="Arial"/>
          <w:b/>
          <w:bCs/>
        </w:rPr>
        <w:t>21.08.</w:t>
      </w:r>
      <w:r w:rsidRPr="00556D73">
        <w:rPr>
          <w:rFonts w:ascii="Arial" w:hAnsi="Arial" w:cs="Arial"/>
          <w:b/>
          <w:bCs/>
        </w:rPr>
        <w:t>2012r.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Konsekwencje złożenia oferty niezgodnie z w/w opisem (np. potraktowanie oferty jako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Głogowska 27,  sekretariat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556D73">
        <w:rPr>
          <w:rFonts w:ascii="Arial" w:hAnsi="Arial" w:cs="Arial"/>
          <w:b/>
          <w:bCs/>
        </w:rPr>
        <w:t xml:space="preserve">do dnia  </w:t>
      </w:r>
      <w:r w:rsidR="00AC3C5F" w:rsidRPr="00556D73">
        <w:rPr>
          <w:rFonts w:ascii="Arial" w:hAnsi="Arial" w:cs="Arial"/>
          <w:b/>
          <w:bCs/>
        </w:rPr>
        <w:t>21.08.</w:t>
      </w:r>
      <w:r w:rsidRPr="00556D73">
        <w:rPr>
          <w:rFonts w:ascii="Arial" w:hAnsi="Arial" w:cs="Arial"/>
          <w:b/>
          <w:bCs/>
        </w:rPr>
        <w:t>2012r. do godziny 14:30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16.2.  W przypadku dostarczenia oferty pocztą lub pocztą kurierską, zamawiający przyjmie za 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16.3. Możliwość przedłużenia terminu składania ofert dopuszcza się jedynie w sytuacjach 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404C4C" w:rsidRPr="00556D73">
        <w:rPr>
          <w:rFonts w:ascii="Arial" w:hAnsi="Arial" w:cs="Arial"/>
          <w:b/>
          <w:bCs/>
        </w:rPr>
        <w:t>21.08.</w:t>
      </w:r>
      <w:r w:rsidRPr="00556D73">
        <w:rPr>
          <w:rFonts w:ascii="Arial" w:hAnsi="Arial" w:cs="Arial"/>
          <w:b/>
          <w:bCs/>
        </w:rPr>
        <w:t>2012r.  o godzinie 15:00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imię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cenę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termin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warunki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556D73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DC6135">
        <w:rPr>
          <w:rFonts w:ascii="Arial" w:hAnsi="Arial" w:cs="Arial"/>
        </w:rPr>
        <w:t>19.1</w:t>
      </w:r>
      <w:r w:rsidRPr="00556D73">
        <w:rPr>
          <w:rFonts w:ascii="Arial" w:hAnsi="Arial" w:cs="Arial"/>
        </w:rPr>
        <w:t>. Każdy z wykonawców może zaproponować tylko jedną cenę i nie może jej zmienić. Nie prowadzi się negocjacji w sprawie ceny.</w:t>
      </w:r>
      <w:r w:rsidRPr="00556D73">
        <w:rPr>
          <w:rFonts w:ascii="Arial" w:hAnsi="Arial" w:cs="Arial"/>
          <w:strike/>
        </w:rPr>
        <w:t xml:space="preserve"> </w:t>
      </w:r>
    </w:p>
    <w:p w:rsidR="00964122" w:rsidRPr="00556D73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556D73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</w:t>
      </w:r>
      <w:r w:rsidR="007A4DCF" w:rsidRPr="00556D73">
        <w:rPr>
          <w:rFonts w:ascii="Arial" w:hAnsi="Arial" w:cs="Arial"/>
        </w:rPr>
        <w:t>, koszt parkingu</w:t>
      </w:r>
      <w:r w:rsidRPr="00556D73">
        <w:rPr>
          <w:rFonts w:ascii="Arial" w:hAnsi="Arial" w:cs="Arial"/>
        </w:rPr>
        <w:t xml:space="preserve"> itp.).</w:t>
      </w:r>
    </w:p>
    <w:p w:rsidR="00964122" w:rsidRPr="00556D73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Wykonawca jest zobowiązany dokonać obliczenia ceny ofertowej w oparciu o </w:t>
      </w:r>
      <w:r w:rsidR="00404C4C" w:rsidRPr="00556D73">
        <w:rPr>
          <w:rFonts w:ascii="Arial" w:hAnsi="Arial" w:cs="Arial"/>
        </w:rPr>
        <w:t>formularz   Grafik przejazdów</w:t>
      </w:r>
      <w:r w:rsidRPr="00556D73">
        <w:rPr>
          <w:rFonts w:ascii="Arial" w:hAnsi="Arial" w:cs="Arial"/>
        </w:rPr>
        <w:t xml:space="preserve">, stanowiący </w:t>
      </w:r>
      <w:r w:rsidRPr="00556D73">
        <w:rPr>
          <w:rFonts w:ascii="Arial" w:hAnsi="Arial" w:cs="Arial"/>
          <w:b/>
          <w:bCs/>
        </w:rPr>
        <w:t xml:space="preserve">załącznik nr 1 </w:t>
      </w:r>
      <w:r w:rsidRPr="00556D73">
        <w:rPr>
          <w:rFonts w:ascii="Arial" w:hAnsi="Arial" w:cs="Arial"/>
        </w:rPr>
        <w:t xml:space="preserve">do. Wszystkie pozycje </w:t>
      </w:r>
      <w:r w:rsidR="00404C4C" w:rsidRPr="00556D73">
        <w:rPr>
          <w:rFonts w:ascii="Arial" w:hAnsi="Arial" w:cs="Arial"/>
        </w:rPr>
        <w:t>formularza</w:t>
      </w:r>
      <w:r w:rsidRPr="00556D73">
        <w:rPr>
          <w:rFonts w:ascii="Arial" w:hAnsi="Arial" w:cs="Arial"/>
        </w:rPr>
        <w:t xml:space="preserve"> muszą być wypełnione pod rygorem odrzucenia oferty. W formularzu ofertowym (</w:t>
      </w:r>
      <w:r w:rsidRPr="00556D73">
        <w:rPr>
          <w:rFonts w:ascii="Arial" w:hAnsi="Arial" w:cs="Arial"/>
          <w:b/>
          <w:bCs/>
        </w:rPr>
        <w:t>załącznik nr 5</w:t>
      </w:r>
      <w:r w:rsidRPr="00556D73">
        <w:rPr>
          <w:rFonts w:ascii="Arial" w:hAnsi="Arial" w:cs="Arial"/>
        </w:rPr>
        <w:t xml:space="preserve"> do SIWZ) należy podać cenę brutto, wynikającą z </w:t>
      </w:r>
      <w:r w:rsidR="00404C4C" w:rsidRPr="00556D73">
        <w:rPr>
          <w:rFonts w:ascii="Arial" w:hAnsi="Arial" w:cs="Arial"/>
        </w:rPr>
        <w:t>formularza</w:t>
      </w:r>
      <w:r w:rsidRPr="00556D73">
        <w:rPr>
          <w:rFonts w:ascii="Arial" w:hAnsi="Arial" w:cs="Arial"/>
        </w:rPr>
        <w:t>.</w:t>
      </w:r>
    </w:p>
    <w:p w:rsidR="00964122" w:rsidRPr="00556D73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powinna być wyrażona w PLN z dokładnością do 1 grosza.</w:t>
      </w:r>
    </w:p>
    <w:p w:rsidR="00964122" w:rsidRPr="00556D73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Cena oferty powinna zawierać wszystkie koszty związane z realizacją zamówienia. </w:t>
      </w:r>
    </w:p>
    <w:p w:rsidR="006918A3" w:rsidRPr="00556D73" w:rsidRDefault="00964122" w:rsidP="006918A3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nie będzie mogła ulec zwiększeniu przez cały okres trwania umowy.</w:t>
      </w:r>
    </w:p>
    <w:p w:rsidR="006918A3" w:rsidRDefault="006918A3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</w:rPr>
      </w:pPr>
    </w:p>
    <w:p w:rsidR="00964122" w:rsidRPr="006918A3" w:rsidRDefault="00964122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  <w:b/>
          <w:highlight w:val="yellow"/>
        </w:rPr>
      </w:pPr>
      <w:r w:rsidRPr="006918A3">
        <w:rPr>
          <w:rFonts w:ascii="Arial" w:hAnsi="Arial" w:cs="Arial"/>
          <w:b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cena najniższa</w:t>
      </w:r>
    </w:p>
    <w:p w:rsidR="00C33175" w:rsidRPr="007B2E0D" w:rsidRDefault="00C33175" w:rsidP="007B2E0D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t>ilość punktów badanej 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 xml:space="preserve">x 100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r w:rsidRPr="007B2E0D">
        <w:rPr>
          <w:rFonts w:ascii="Arial" w:hAnsi="Arial" w:cs="Arial"/>
          <w:i/>
        </w:rPr>
        <w:t>cena oferty badanej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od  </w:t>
      </w:r>
      <w:r w:rsidRPr="002F0859">
        <w:rPr>
          <w:rFonts w:ascii="Arial" w:hAnsi="Arial" w:cs="Arial"/>
          <w:spacing w:val="-1"/>
        </w:rPr>
        <w:t>z</w:t>
      </w:r>
      <w:r w:rsidRPr="002F0859">
        <w:rPr>
          <w:rFonts w:ascii="Arial" w:hAnsi="Arial" w:cs="Arial"/>
          <w:spacing w:val="-1"/>
        </w:rPr>
        <w:t>a</w:t>
      </w:r>
      <w:r w:rsidRPr="002F0859">
        <w:rPr>
          <w:rFonts w:ascii="Arial" w:hAnsi="Arial" w:cs="Arial"/>
          <w:spacing w:val="-1"/>
        </w:rPr>
        <w:t xml:space="preserve">warcia umowy, zamawiający wybierze najkorzystniejszą ofertę (z najniższą ceną) </w:t>
      </w:r>
      <w:r w:rsidRPr="002F0859">
        <w:rPr>
          <w:rFonts w:ascii="Arial" w:hAnsi="Arial" w:cs="Arial"/>
        </w:rPr>
        <w:t>spośród pozost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</w:t>
      </w:r>
      <w:r w:rsidRPr="002F0859">
        <w:rPr>
          <w:rFonts w:ascii="Arial" w:hAnsi="Arial" w:cs="Arial"/>
          <w:spacing w:val="-2"/>
        </w:rPr>
        <w:t>ó</w:t>
      </w:r>
      <w:r w:rsidRPr="002F0859">
        <w:rPr>
          <w:rFonts w:ascii="Arial" w:hAnsi="Arial" w:cs="Arial"/>
          <w:spacing w:val="-2"/>
        </w:rPr>
        <w:t>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b)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c)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d)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publicznych,,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23.8 Odwołanie wnosi się w terminie 5 dni od dnia przesłanie informacji o czynności zamawiającego stanowiącej podstawę jego wniesienia – jeżeli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23.9 Odwołanie wobec treści ogłoszenia o zamówieniu,  także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23.10 Odwołanie wobec czynności innych niż określone w pkt 23.8 i 23.9 wnosi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rze oferty najkorzystniejszej  odwołanie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 w terminie i na zasadach określonych w art.198 a -198 g  ustawy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556D73" w:rsidRPr="002F0859" w:rsidRDefault="00556D73" w:rsidP="00541316">
      <w:pPr>
        <w:spacing w:before="0" w:after="0" w:line="240" w:lineRule="auto"/>
        <w:rPr>
          <w:rFonts w:ascii="Arial" w:hAnsi="Arial" w:cs="Arial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Default="00964122" w:rsidP="00556D73">
      <w:pPr>
        <w:spacing w:before="0" w:after="0" w:line="240" w:lineRule="auto"/>
        <w:rPr>
          <w:rFonts w:ascii="Arial" w:hAnsi="Arial" w:cs="Arial"/>
          <w:lang w:eastAsia="pl-P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z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>. zm.)</w:t>
      </w:r>
    </w:p>
    <w:p w:rsidR="00556D73" w:rsidRPr="00556D73" w:rsidRDefault="00556D73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P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–</w:t>
      </w:r>
      <w:r w:rsidR="008A5BA9">
        <w:rPr>
          <w:rFonts w:ascii="Arial" w:hAnsi="Arial" w:cs="Arial"/>
          <w:sz w:val="20"/>
          <w:szCs w:val="20"/>
        </w:rPr>
        <w:t>Grafik przejazdów</w:t>
      </w:r>
      <w:r w:rsidR="007C413D" w:rsidRPr="007C413D">
        <w:rPr>
          <w:rFonts w:ascii="Arial" w:hAnsi="Arial" w:cs="Arial"/>
          <w:sz w:val="20"/>
          <w:szCs w:val="20"/>
        </w:rPr>
        <w:t xml:space="preserve"> </w:t>
      </w:r>
      <w:r w:rsidR="007C413D">
        <w:rPr>
          <w:rFonts w:ascii="Arial" w:hAnsi="Arial" w:cs="Arial"/>
          <w:sz w:val="20"/>
          <w:szCs w:val="20"/>
        </w:rPr>
        <w:t>(formularz)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 w:rsidR="005B7ECA">
        <w:rPr>
          <w:rFonts w:ascii="Arial" w:hAnsi="Arial" w:cs="Arial"/>
          <w:sz w:val="20"/>
          <w:szCs w:val="20"/>
        </w:rPr>
        <w:t>usług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2F0859">
        <w:rPr>
          <w:rFonts w:ascii="Arial" w:hAnsi="Arial" w:cs="Arial"/>
          <w:sz w:val="20"/>
          <w:szCs w:val="20"/>
        </w:rPr>
        <w:t>z</w:t>
      </w:r>
      <w:r w:rsidRPr="002F0859">
        <w:rPr>
          <w:rFonts w:ascii="Arial" w:hAnsi="Arial" w:cs="Arial"/>
          <w:sz w:val="20"/>
          <w:szCs w:val="20"/>
        </w:rPr>
        <w:t>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6918A3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Opole</w:t>
      </w:r>
      <w:r w:rsidRPr="00556D73">
        <w:rPr>
          <w:rFonts w:ascii="Arial" w:hAnsi="Arial" w:cs="Arial"/>
        </w:rPr>
        <w:t>, dnia 1</w:t>
      </w:r>
      <w:r w:rsidR="005B7ECA" w:rsidRPr="00556D73">
        <w:rPr>
          <w:rFonts w:ascii="Arial" w:hAnsi="Arial" w:cs="Arial"/>
        </w:rPr>
        <w:t>3</w:t>
      </w:r>
      <w:r w:rsidRPr="00556D73">
        <w:rPr>
          <w:rFonts w:ascii="Arial" w:hAnsi="Arial" w:cs="Arial"/>
        </w:rPr>
        <w:t>.0</w:t>
      </w:r>
      <w:r w:rsidR="005B7ECA" w:rsidRPr="00556D73">
        <w:rPr>
          <w:rFonts w:ascii="Arial" w:hAnsi="Arial" w:cs="Arial"/>
        </w:rPr>
        <w:t>8</w:t>
      </w:r>
      <w:r w:rsidRPr="00556D73">
        <w:rPr>
          <w:rFonts w:ascii="Arial" w:hAnsi="Arial" w:cs="Arial"/>
        </w:rPr>
        <w:t>.2012 r.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sectPr w:rsidR="00964122" w:rsidRPr="006918A3" w:rsidSect="00A815F5"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B3" w:rsidRDefault="00153CB3" w:rsidP="002070AA">
      <w:pPr>
        <w:spacing w:before="0" w:after="0" w:line="240" w:lineRule="auto"/>
      </w:pPr>
      <w:r>
        <w:separator/>
      </w:r>
    </w:p>
  </w:endnote>
  <w:endnote w:type="continuationSeparator" w:id="0">
    <w:p w:rsidR="00153CB3" w:rsidRDefault="00153CB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2" w:rsidRDefault="00964122" w:rsidP="005A4152">
    <w:pPr>
      <w:pBdr>
        <w:bottom w:val="single" w:sz="6" w:space="1" w:color="auto"/>
      </w:pBdr>
      <w:spacing w:before="0" w:after="0" w:line="240" w:lineRule="auto"/>
    </w:pPr>
  </w:p>
  <w:p w:rsidR="00964122" w:rsidRPr="00CD63B1" w:rsidRDefault="0096412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325"/>
      <w:gridCol w:w="2555"/>
      <w:gridCol w:w="2095"/>
      <w:gridCol w:w="2325"/>
    </w:tblGrid>
    <w:tr w:rsidR="00964122" w:rsidRPr="00CD63B1">
      <w:trPr>
        <w:trHeight w:val="1020"/>
        <w:jc w:val="center"/>
      </w:trPr>
      <w:tc>
        <w:tcPr>
          <w:tcW w:w="2325" w:type="dxa"/>
          <w:vAlign w:val="center"/>
        </w:tcPr>
        <w:p w:rsidR="00964122" w:rsidRPr="00CD63B1" w:rsidRDefault="00F31E6E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96pt;height:51pt;visibility:visible">
                <v:imagedata r:id="rId1" o:title="" cropleft="5599f"/>
              </v:shape>
            </w:pict>
          </w:r>
        </w:p>
      </w:tc>
      <w:tc>
        <w:tcPr>
          <w:tcW w:w="2555" w:type="dxa"/>
          <w:vAlign w:val="center"/>
        </w:tcPr>
        <w:p w:rsidR="00964122" w:rsidRPr="00CD63B1" w:rsidRDefault="00F31E6E" w:rsidP="00EC637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_x0000_i1028" type="#_x0000_t75" alt="Opis: http://umwo.opole.pl/img/images/herb599.jpg" style="width:58.5pt;height:41.25pt;visibility:visible">
                <v:imagedata r:id="rId2" o:title="" grayscale="t"/>
              </v:shape>
            </w:pict>
          </w:r>
        </w:p>
      </w:tc>
      <w:tc>
        <w:tcPr>
          <w:tcW w:w="2095" w:type="dxa"/>
          <w:vAlign w:val="center"/>
        </w:tcPr>
        <w:p w:rsidR="00964122" w:rsidRPr="00CD63B1" w:rsidRDefault="00F31E6E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_x0000_i1029" type="#_x0000_t75" style="width:94.5pt;height:43.5pt;visibility:visible">
                <v:imagedata r:id="rId3" o:title=""/>
              </v:shape>
            </w:pict>
          </w:r>
        </w:p>
      </w:tc>
      <w:tc>
        <w:tcPr>
          <w:tcW w:w="2325" w:type="dxa"/>
          <w:vAlign w:val="center"/>
        </w:tcPr>
        <w:p w:rsidR="00964122" w:rsidRPr="00CD63B1" w:rsidRDefault="00F31E6E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shape id="_x0000_i1030" type="#_x0000_t75" style="width:114.75pt;height:43.5pt;visibility:visible">
                <v:imagedata r:id="rId4" o:title=""/>
              </v:shape>
            </w:pict>
          </w:r>
        </w:p>
      </w:tc>
    </w:tr>
    <w:tr w:rsidR="00964122" w:rsidRPr="00CD63B1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964122" w:rsidRPr="00CD63B1" w:rsidRDefault="00964122" w:rsidP="00EC637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 systemowy „Edukacja ku przyszłości”, nr POKL.09.01.02-16-075/11</w:t>
          </w:r>
        </w:p>
        <w:p w:rsidR="00964122" w:rsidRPr="00CD63B1" w:rsidRDefault="00964122" w:rsidP="00EC637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jest współfinansowany przez Unię Europejską w ramach Europejskiego Funduszu Społecznego</w:t>
          </w:r>
        </w:p>
      </w:tc>
    </w:tr>
  </w:tbl>
  <w:p w:rsidR="00964122" w:rsidRDefault="0096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B3" w:rsidRDefault="00153CB3" w:rsidP="002070AA">
      <w:pPr>
        <w:spacing w:before="0" w:after="0" w:line="240" w:lineRule="auto"/>
      </w:pPr>
      <w:r>
        <w:separator/>
      </w:r>
    </w:p>
  </w:footnote>
  <w:footnote w:type="continuationSeparator" w:id="0">
    <w:p w:rsidR="00153CB3" w:rsidRDefault="00153CB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964122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964122" w:rsidRPr="00CD63B1" w:rsidRDefault="00153CB3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EkP szare" style="width:67.5pt;height:67.5pt;visibility:visible">
                <v:imagedata r:id="rId1" o:title=""/>
              </v:shape>
            </w:pict>
          </w:r>
        </w:p>
      </w:tc>
      <w:tc>
        <w:tcPr>
          <w:tcW w:w="7615" w:type="dxa"/>
          <w:vAlign w:val="center"/>
        </w:tcPr>
        <w:p w:rsidR="00964122" w:rsidRPr="00CD63B1" w:rsidRDefault="00153CB3" w:rsidP="00EC6373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964122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964122" w:rsidRPr="00CD63B1" w:rsidRDefault="00964122" w:rsidP="00EC637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964122" w:rsidRPr="00CD63B1" w:rsidRDefault="00964122" w:rsidP="00EC6373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964122" w:rsidRDefault="00964122" w:rsidP="00EC6373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964122" w:rsidRPr="0051620C" w:rsidRDefault="00964122" w:rsidP="00EC6373">
          <w:pPr>
            <w:pStyle w:val="Nagwek"/>
            <w:jc w:val="right"/>
            <w:rPr>
              <w:sz w:val="16"/>
              <w:szCs w:val="16"/>
            </w:rPr>
          </w:pPr>
        </w:p>
        <w:p w:rsidR="00964122" w:rsidRPr="00CD63B1" w:rsidRDefault="00964122" w:rsidP="00EC6373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Pr="00115478">
            <w:rPr>
              <w:sz w:val="18"/>
              <w:szCs w:val="18"/>
            </w:rPr>
            <w:t>kontakt@rcre.opolskie.pl</w:t>
          </w:r>
        </w:p>
      </w:tc>
    </w:tr>
  </w:tbl>
  <w:p w:rsidR="00964122" w:rsidRPr="0051620C" w:rsidRDefault="00964122" w:rsidP="002778BD">
    <w:pPr>
      <w:pBdr>
        <w:bottom w:val="single" w:sz="6" w:space="1" w:color="auto"/>
      </w:pBdr>
      <w:spacing w:before="0" w:after="0" w:line="240" w:lineRule="auto"/>
      <w:rPr>
        <w:sz w:val="16"/>
        <w:szCs w:val="16"/>
      </w:rPr>
    </w:pPr>
  </w:p>
  <w:p w:rsidR="00964122" w:rsidRPr="002778BD" w:rsidRDefault="00964122" w:rsidP="002778BD">
    <w:pPr>
      <w:tabs>
        <w:tab w:val="left" w:pos="8355"/>
      </w:tabs>
      <w:spacing w:before="0"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D03355"/>
    <w:multiLevelType w:val="hybridMultilevel"/>
    <w:tmpl w:val="FCC4A5E0"/>
    <w:lvl w:ilvl="0" w:tplc="495E12F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18"/>
  </w:num>
  <w:num w:numId="11">
    <w:abstractNumId w:val="19"/>
  </w:num>
  <w:num w:numId="12">
    <w:abstractNumId w:val="5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23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7258B"/>
    <w:rsid w:val="000A2D2A"/>
    <w:rsid w:val="000A3D7D"/>
    <w:rsid w:val="000A79DD"/>
    <w:rsid w:val="000E1086"/>
    <w:rsid w:val="000E3F42"/>
    <w:rsid w:val="00115478"/>
    <w:rsid w:val="00153CB3"/>
    <w:rsid w:val="00164CC8"/>
    <w:rsid w:val="00173896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4230"/>
    <w:rsid w:val="002669A5"/>
    <w:rsid w:val="002709EC"/>
    <w:rsid w:val="002769A3"/>
    <w:rsid w:val="002778BD"/>
    <w:rsid w:val="00290C1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13BA"/>
    <w:rsid w:val="00336AAC"/>
    <w:rsid w:val="00340510"/>
    <w:rsid w:val="003469D9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404C4C"/>
    <w:rsid w:val="00415BC2"/>
    <w:rsid w:val="00431A1A"/>
    <w:rsid w:val="004361B6"/>
    <w:rsid w:val="00442518"/>
    <w:rsid w:val="00444CD3"/>
    <w:rsid w:val="00446306"/>
    <w:rsid w:val="0044779E"/>
    <w:rsid w:val="00474819"/>
    <w:rsid w:val="004D2B5D"/>
    <w:rsid w:val="004E7BEE"/>
    <w:rsid w:val="004F0709"/>
    <w:rsid w:val="004F20F8"/>
    <w:rsid w:val="004F77F6"/>
    <w:rsid w:val="00514DD4"/>
    <w:rsid w:val="0051620C"/>
    <w:rsid w:val="0053154B"/>
    <w:rsid w:val="00541316"/>
    <w:rsid w:val="00555C60"/>
    <w:rsid w:val="00556D73"/>
    <w:rsid w:val="00567725"/>
    <w:rsid w:val="00575AC6"/>
    <w:rsid w:val="00592D82"/>
    <w:rsid w:val="005A4152"/>
    <w:rsid w:val="005A453C"/>
    <w:rsid w:val="005B7ECA"/>
    <w:rsid w:val="005C478F"/>
    <w:rsid w:val="005D4F86"/>
    <w:rsid w:val="005E3697"/>
    <w:rsid w:val="005E73C5"/>
    <w:rsid w:val="005F0D5F"/>
    <w:rsid w:val="005F619B"/>
    <w:rsid w:val="006035EE"/>
    <w:rsid w:val="0061610B"/>
    <w:rsid w:val="00617333"/>
    <w:rsid w:val="0062489A"/>
    <w:rsid w:val="00624B0A"/>
    <w:rsid w:val="0063239A"/>
    <w:rsid w:val="00640916"/>
    <w:rsid w:val="00655657"/>
    <w:rsid w:val="00666DFA"/>
    <w:rsid w:val="0068235D"/>
    <w:rsid w:val="006918A3"/>
    <w:rsid w:val="006A2524"/>
    <w:rsid w:val="006A63DA"/>
    <w:rsid w:val="006B00F6"/>
    <w:rsid w:val="006B3DE6"/>
    <w:rsid w:val="006D3329"/>
    <w:rsid w:val="006E2EA5"/>
    <w:rsid w:val="006F3331"/>
    <w:rsid w:val="0070221D"/>
    <w:rsid w:val="00707DDF"/>
    <w:rsid w:val="007216EA"/>
    <w:rsid w:val="00731330"/>
    <w:rsid w:val="007421FA"/>
    <w:rsid w:val="00756A4A"/>
    <w:rsid w:val="00762CA7"/>
    <w:rsid w:val="007779A4"/>
    <w:rsid w:val="00783661"/>
    <w:rsid w:val="00784ABD"/>
    <w:rsid w:val="00784C37"/>
    <w:rsid w:val="007A04DE"/>
    <w:rsid w:val="007A4DCF"/>
    <w:rsid w:val="007B2E0D"/>
    <w:rsid w:val="007B477E"/>
    <w:rsid w:val="007B632D"/>
    <w:rsid w:val="007C413D"/>
    <w:rsid w:val="007D1005"/>
    <w:rsid w:val="007D318C"/>
    <w:rsid w:val="007E48BF"/>
    <w:rsid w:val="007F515C"/>
    <w:rsid w:val="007F5C38"/>
    <w:rsid w:val="007F5FF3"/>
    <w:rsid w:val="00811872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A5BA9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4597"/>
    <w:rsid w:val="009E566C"/>
    <w:rsid w:val="009E5BC8"/>
    <w:rsid w:val="009F0A90"/>
    <w:rsid w:val="009F4BBE"/>
    <w:rsid w:val="00A21192"/>
    <w:rsid w:val="00A24318"/>
    <w:rsid w:val="00A34727"/>
    <w:rsid w:val="00A35645"/>
    <w:rsid w:val="00A43FC0"/>
    <w:rsid w:val="00A47876"/>
    <w:rsid w:val="00A51261"/>
    <w:rsid w:val="00A73F0B"/>
    <w:rsid w:val="00A815F5"/>
    <w:rsid w:val="00AC3C5F"/>
    <w:rsid w:val="00AD6E43"/>
    <w:rsid w:val="00AD7182"/>
    <w:rsid w:val="00AF7FE8"/>
    <w:rsid w:val="00B03B44"/>
    <w:rsid w:val="00B04140"/>
    <w:rsid w:val="00B13D0B"/>
    <w:rsid w:val="00B14B2C"/>
    <w:rsid w:val="00B46011"/>
    <w:rsid w:val="00B67BFE"/>
    <w:rsid w:val="00B81619"/>
    <w:rsid w:val="00BA0680"/>
    <w:rsid w:val="00BB6759"/>
    <w:rsid w:val="00BE19DA"/>
    <w:rsid w:val="00C00695"/>
    <w:rsid w:val="00C040DA"/>
    <w:rsid w:val="00C262DF"/>
    <w:rsid w:val="00C31410"/>
    <w:rsid w:val="00C33175"/>
    <w:rsid w:val="00C362F1"/>
    <w:rsid w:val="00C43253"/>
    <w:rsid w:val="00C5234D"/>
    <w:rsid w:val="00C53EFD"/>
    <w:rsid w:val="00C67507"/>
    <w:rsid w:val="00C94319"/>
    <w:rsid w:val="00CC21FB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2752B"/>
    <w:rsid w:val="00D51EEB"/>
    <w:rsid w:val="00D54F84"/>
    <w:rsid w:val="00D55C12"/>
    <w:rsid w:val="00D6152C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F2968"/>
    <w:rsid w:val="00DF53C3"/>
    <w:rsid w:val="00E032E2"/>
    <w:rsid w:val="00E25FDD"/>
    <w:rsid w:val="00E2783F"/>
    <w:rsid w:val="00E33D47"/>
    <w:rsid w:val="00E34674"/>
    <w:rsid w:val="00E51B7D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31E6E"/>
    <w:rsid w:val="00F473C9"/>
    <w:rsid w:val="00F47820"/>
    <w:rsid w:val="00F51CC3"/>
    <w:rsid w:val="00F64610"/>
    <w:rsid w:val="00F6585E"/>
    <w:rsid w:val="00F66951"/>
    <w:rsid w:val="00F8423D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B7ECA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23D"/>
    <w:pPr>
      <w:spacing w:before="0"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8423D"/>
    <w:rPr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31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3175"/>
    <w:rPr>
      <w:rFonts w:cs="Calibri"/>
      <w:lang w:eastAsia="en-US"/>
    </w:rPr>
  </w:style>
  <w:style w:type="paragraph" w:customStyle="1" w:styleId="Znak1">
    <w:name w:val="Znak1"/>
    <w:basedOn w:val="Normalny"/>
    <w:rsid w:val="00D51EEB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Wynajem-autobusow-i-autokarow-wraz-z-kiero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w-zakresie-transportu-drogoweg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4033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mhejduk</cp:lastModifiedBy>
  <cp:revision>39</cp:revision>
  <cp:lastPrinted>2012-01-11T09:06:00Z</cp:lastPrinted>
  <dcterms:created xsi:type="dcterms:W3CDTF">2012-06-12T22:09:00Z</dcterms:created>
  <dcterms:modified xsi:type="dcterms:W3CDTF">2012-08-13T12:00:00Z</dcterms:modified>
</cp:coreProperties>
</file>